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4D5088" w14:textId="55BCECC5" w:rsidR="002C579A" w:rsidRPr="00763A79" w:rsidRDefault="00EF3901" w:rsidP="006D2BE7">
      <w:pPr>
        <w:spacing w:after="120" w:line="240" w:lineRule="auto"/>
        <w:contextualSpacing/>
        <w:rPr>
          <w:b/>
          <w:bCs w:val="0"/>
          <w:szCs w:val="20"/>
        </w:rPr>
      </w:pPr>
      <w:r>
        <w:rPr>
          <w:b/>
          <w:bCs w:val="0"/>
          <w:szCs w:val="20"/>
        </w:rPr>
        <w:t xml:space="preserve">Internal </w:t>
      </w:r>
      <w:r w:rsidR="002C579A" w:rsidRPr="00763A79">
        <w:rPr>
          <w:b/>
          <w:bCs w:val="0"/>
          <w:szCs w:val="20"/>
        </w:rPr>
        <w:t>Memo</w:t>
      </w:r>
      <w:r>
        <w:rPr>
          <w:b/>
          <w:bCs w:val="0"/>
          <w:szCs w:val="20"/>
        </w:rPr>
        <w:t xml:space="preserve"> (Confidential)</w:t>
      </w:r>
    </w:p>
    <w:p w14:paraId="626BA769" w14:textId="77777777" w:rsidR="002C579A" w:rsidRPr="00763A79" w:rsidRDefault="002C579A" w:rsidP="006D2BE7">
      <w:pPr>
        <w:spacing w:after="120" w:line="240" w:lineRule="auto"/>
        <w:contextualSpacing/>
        <w:rPr>
          <w:b/>
          <w:bCs w:val="0"/>
          <w:szCs w:val="20"/>
        </w:rPr>
      </w:pPr>
    </w:p>
    <w:p w14:paraId="45773D08" w14:textId="1D4DEEB2" w:rsidR="002C579A" w:rsidRPr="00763A79" w:rsidRDefault="002C579A" w:rsidP="006D2BE7">
      <w:pPr>
        <w:spacing w:after="120" w:line="240" w:lineRule="auto"/>
        <w:contextualSpacing/>
        <w:rPr>
          <w:b/>
          <w:bCs w:val="0"/>
          <w:szCs w:val="20"/>
        </w:rPr>
      </w:pPr>
      <w:r w:rsidRPr="00763A79">
        <w:rPr>
          <w:b/>
          <w:bCs w:val="0"/>
          <w:szCs w:val="20"/>
        </w:rPr>
        <w:t>To:</w:t>
      </w:r>
      <w:r w:rsidRPr="00763A79">
        <w:rPr>
          <w:b/>
          <w:bCs w:val="0"/>
          <w:szCs w:val="20"/>
        </w:rPr>
        <w:tab/>
      </w:r>
      <w:r w:rsidRPr="00763A79">
        <w:rPr>
          <w:b/>
          <w:bCs w:val="0"/>
          <w:szCs w:val="20"/>
        </w:rPr>
        <w:tab/>
      </w:r>
      <w:r w:rsidR="002D5ADD">
        <w:rPr>
          <w:szCs w:val="20"/>
        </w:rPr>
        <w:t>Fintech Founder</w:t>
      </w:r>
      <w:r w:rsidR="000721AD">
        <w:rPr>
          <w:szCs w:val="20"/>
        </w:rPr>
        <w:t>s and GTM Leaders</w:t>
      </w:r>
    </w:p>
    <w:p w14:paraId="46AE9C98" w14:textId="5B137B4E" w:rsidR="002C579A" w:rsidRPr="00763A79" w:rsidRDefault="002C579A" w:rsidP="006D2BE7">
      <w:pPr>
        <w:spacing w:after="120" w:line="240" w:lineRule="auto"/>
        <w:contextualSpacing/>
        <w:rPr>
          <w:b/>
          <w:bCs w:val="0"/>
          <w:szCs w:val="20"/>
        </w:rPr>
      </w:pPr>
      <w:r w:rsidRPr="00763A79">
        <w:rPr>
          <w:b/>
          <w:bCs w:val="0"/>
          <w:szCs w:val="20"/>
        </w:rPr>
        <w:t>From:</w:t>
      </w:r>
      <w:r w:rsidRPr="00763A79">
        <w:rPr>
          <w:b/>
          <w:bCs w:val="0"/>
          <w:szCs w:val="20"/>
        </w:rPr>
        <w:tab/>
      </w:r>
      <w:r w:rsidRPr="00763A79">
        <w:rPr>
          <w:b/>
          <w:bCs w:val="0"/>
          <w:szCs w:val="20"/>
        </w:rPr>
        <w:tab/>
      </w:r>
      <w:r w:rsidRPr="00763A79">
        <w:rPr>
          <w:szCs w:val="20"/>
        </w:rPr>
        <w:t>Allan Rayson, Finov8r Consulting</w:t>
      </w:r>
    </w:p>
    <w:p w14:paraId="14627629" w14:textId="17C7A0AA" w:rsidR="002C579A" w:rsidRPr="00763A79" w:rsidRDefault="002C579A" w:rsidP="006D2BE7">
      <w:pPr>
        <w:spacing w:after="120" w:line="240" w:lineRule="auto"/>
        <w:contextualSpacing/>
        <w:rPr>
          <w:b/>
          <w:bCs w:val="0"/>
          <w:szCs w:val="20"/>
        </w:rPr>
      </w:pPr>
      <w:r w:rsidRPr="00763A79">
        <w:rPr>
          <w:b/>
          <w:bCs w:val="0"/>
          <w:szCs w:val="20"/>
        </w:rPr>
        <w:t xml:space="preserve">Date: </w:t>
      </w:r>
      <w:r w:rsidRPr="00763A79">
        <w:rPr>
          <w:b/>
          <w:bCs w:val="0"/>
          <w:szCs w:val="20"/>
        </w:rPr>
        <w:tab/>
      </w:r>
      <w:r w:rsidRPr="00763A79">
        <w:rPr>
          <w:b/>
          <w:bCs w:val="0"/>
          <w:szCs w:val="20"/>
        </w:rPr>
        <w:tab/>
      </w:r>
      <w:r w:rsidR="00621C21" w:rsidRPr="00763A79">
        <w:rPr>
          <w:szCs w:val="20"/>
        </w:rPr>
        <w:t>Thursday</w:t>
      </w:r>
      <w:r w:rsidRPr="00763A79">
        <w:rPr>
          <w:szCs w:val="20"/>
        </w:rPr>
        <w:t xml:space="preserve">, August </w:t>
      </w:r>
      <w:r w:rsidR="00AB56DE">
        <w:rPr>
          <w:szCs w:val="20"/>
        </w:rPr>
        <w:t>30</w:t>
      </w:r>
      <w:r w:rsidRPr="00763A79">
        <w:rPr>
          <w:szCs w:val="20"/>
        </w:rPr>
        <w:t>, 2024</w:t>
      </w:r>
    </w:p>
    <w:p w14:paraId="63B16A81" w14:textId="6A839A6D" w:rsidR="00962920" w:rsidRPr="00EF3901" w:rsidRDefault="002C579A" w:rsidP="006D2BE7">
      <w:pPr>
        <w:spacing w:after="120" w:line="240" w:lineRule="auto"/>
        <w:ind w:left="1440" w:hanging="1440"/>
        <w:contextualSpacing/>
        <w:rPr>
          <w:b/>
          <w:bCs w:val="0"/>
          <w:szCs w:val="20"/>
        </w:rPr>
      </w:pPr>
      <w:r w:rsidRPr="00EF3901">
        <w:rPr>
          <w:b/>
          <w:bCs w:val="0"/>
          <w:szCs w:val="20"/>
        </w:rPr>
        <w:t>Subject:</w:t>
      </w:r>
      <w:r w:rsidRPr="00EF3901">
        <w:rPr>
          <w:b/>
          <w:bCs w:val="0"/>
          <w:szCs w:val="20"/>
        </w:rPr>
        <w:tab/>
      </w:r>
      <w:r w:rsidR="00F87C10">
        <w:rPr>
          <w:b/>
          <w:bCs w:val="0"/>
          <w:szCs w:val="20"/>
        </w:rPr>
        <w:t>SMB Journey Scoping</w:t>
      </w:r>
      <w:r w:rsidR="00EF3901" w:rsidRPr="00EF3901">
        <w:rPr>
          <w:b/>
          <w:bCs w:val="0"/>
          <w:szCs w:val="20"/>
        </w:rPr>
        <w:t xml:space="preserve">: </w:t>
      </w:r>
      <w:r w:rsidR="006A015D">
        <w:rPr>
          <w:b/>
          <w:bCs w:val="0"/>
          <w:szCs w:val="20"/>
        </w:rPr>
        <w:t xml:space="preserve">risk and return </w:t>
      </w:r>
      <w:r w:rsidR="00F87C10">
        <w:rPr>
          <w:b/>
          <w:bCs w:val="0"/>
          <w:szCs w:val="20"/>
        </w:rPr>
        <w:t xml:space="preserve">outcomes banks </w:t>
      </w:r>
      <w:r w:rsidR="006D2BE7">
        <w:rPr>
          <w:b/>
          <w:bCs w:val="0"/>
          <w:szCs w:val="20"/>
        </w:rPr>
        <w:t xml:space="preserve">and credit unions </w:t>
      </w:r>
      <w:r w:rsidR="00F87C10">
        <w:rPr>
          <w:b/>
          <w:bCs w:val="0"/>
          <w:szCs w:val="20"/>
        </w:rPr>
        <w:t>need relative to banking small and mid-size corporates in the U.S.</w:t>
      </w:r>
    </w:p>
    <w:p w14:paraId="79777AF1" w14:textId="77777777" w:rsidR="00621C21" w:rsidRDefault="00621C21" w:rsidP="006D2BE7">
      <w:pPr>
        <w:spacing w:after="120" w:line="240" w:lineRule="auto"/>
        <w:contextualSpacing/>
        <w:rPr>
          <w:szCs w:val="20"/>
        </w:rPr>
      </w:pPr>
    </w:p>
    <w:p w14:paraId="4BDADB67" w14:textId="102F9E5E" w:rsidR="00EF3901" w:rsidRPr="00EF3901" w:rsidRDefault="00EF3901" w:rsidP="006D2BE7">
      <w:pPr>
        <w:spacing w:after="120" w:line="240" w:lineRule="auto"/>
        <w:contextualSpacing/>
        <w:rPr>
          <w:b/>
          <w:bCs w:val="0"/>
          <w:szCs w:val="20"/>
        </w:rPr>
      </w:pPr>
      <w:r w:rsidRPr="00EF3901">
        <w:rPr>
          <w:b/>
          <w:bCs w:val="0"/>
          <w:szCs w:val="20"/>
        </w:rPr>
        <w:t>Overview</w:t>
      </w:r>
    </w:p>
    <w:p w14:paraId="7DD627DB" w14:textId="18C270CC" w:rsidR="00D46BE7" w:rsidRDefault="00D46BE7" w:rsidP="006D2BE7">
      <w:pPr>
        <w:spacing w:after="120" w:line="240" w:lineRule="auto"/>
        <w:contextualSpacing/>
        <w:rPr>
          <w:szCs w:val="20"/>
        </w:rPr>
      </w:pPr>
      <w:r>
        <w:rPr>
          <w:szCs w:val="20"/>
        </w:rPr>
        <w:t xml:space="preserve">Community and Regional </w:t>
      </w:r>
      <w:r w:rsidR="00F87C10">
        <w:rPr>
          <w:szCs w:val="20"/>
        </w:rPr>
        <w:t>Banks</w:t>
      </w:r>
      <w:r>
        <w:rPr>
          <w:szCs w:val="20"/>
        </w:rPr>
        <w:t xml:space="preserve"> and Credit Unions</w:t>
      </w:r>
      <w:r w:rsidR="00F87C10">
        <w:rPr>
          <w:szCs w:val="20"/>
        </w:rPr>
        <w:t xml:space="preserve"> generally attempt to segment </w:t>
      </w:r>
      <w:r w:rsidR="005A1F1D">
        <w:rPr>
          <w:szCs w:val="20"/>
        </w:rPr>
        <w:t xml:space="preserve">commercial </w:t>
      </w:r>
      <w:r w:rsidR="00F87C10">
        <w:rPr>
          <w:szCs w:val="20"/>
        </w:rPr>
        <w:t xml:space="preserve">clients based on gross revenue size. </w:t>
      </w:r>
      <w:r w:rsidR="00987FB7">
        <w:rPr>
          <w:szCs w:val="20"/>
        </w:rPr>
        <w:t>Often the segmentation is defined as one of three major categories including</w:t>
      </w:r>
      <w:r>
        <w:rPr>
          <w:szCs w:val="20"/>
        </w:rPr>
        <w:t>:</w:t>
      </w:r>
    </w:p>
    <w:p w14:paraId="40CFC358" w14:textId="48E35164" w:rsidR="00D46BE7" w:rsidRDefault="00987FB7" w:rsidP="006D2BE7">
      <w:pPr>
        <w:pStyle w:val="ListParagraph"/>
        <w:numPr>
          <w:ilvl w:val="0"/>
          <w:numId w:val="13"/>
        </w:numPr>
        <w:spacing w:after="120" w:line="240" w:lineRule="auto"/>
        <w:rPr>
          <w:szCs w:val="20"/>
        </w:rPr>
      </w:pPr>
      <w:r w:rsidRPr="00D46BE7">
        <w:rPr>
          <w:szCs w:val="20"/>
        </w:rPr>
        <w:t>Business Banking</w:t>
      </w:r>
      <w:r w:rsidR="00D46BE7">
        <w:rPr>
          <w:szCs w:val="20"/>
        </w:rPr>
        <w:t xml:space="preserve">: </w:t>
      </w:r>
      <w:r w:rsidR="00D46BE7">
        <w:rPr>
          <w:szCs w:val="20"/>
        </w:rPr>
        <w:t>(or Small Business Banking) is generally defined as under $20MM in gross revenues</w:t>
      </w:r>
    </w:p>
    <w:p w14:paraId="041B28E7" w14:textId="0F97D703" w:rsidR="00D46BE7" w:rsidRDefault="00987FB7" w:rsidP="006D2BE7">
      <w:pPr>
        <w:pStyle w:val="ListParagraph"/>
        <w:numPr>
          <w:ilvl w:val="0"/>
          <w:numId w:val="13"/>
        </w:numPr>
        <w:spacing w:after="120" w:line="240" w:lineRule="auto"/>
        <w:rPr>
          <w:szCs w:val="20"/>
        </w:rPr>
      </w:pPr>
      <w:r w:rsidRPr="00D46BE7">
        <w:rPr>
          <w:szCs w:val="20"/>
        </w:rPr>
        <w:t>Middle Market Banking</w:t>
      </w:r>
      <w:r w:rsidR="00D46BE7">
        <w:rPr>
          <w:szCs w:val="20"/>
        </w:rPr>
        <w:t>: Mid-Market</w:t>
      </w:r>
      <w:r w:rsidR="00D46BE7">
        <w:rPr>
          <w:szCs w:val="20"/>
        </w:rPr>
        <w:t xml:space="preserve"> is defined as over $20MM in gross revenues up to approximately $500MM in gross revenues.</w:t>
      </w:r>
    </w:p>
    <w:p w14:paraId="12252807" w14:textId="2E572F28" w:rsidR="005A1F1D" w:rsidRPr="00D46BE7" w:rsidRDefault="00987FB7" w:rsidP="006D2BE7">
      <w:pPr>
        <w:pStyle w:val="ListParagraph"/>
        <w:numPr>
          <w:ilvl w:val="0"/>
          <w:numId w:val="13"/>
        </w:numPr>
        <w:spacing w:after="120" w:line="240" w:lineRule="auto"/>
        <w:rPr>
          <w:szCs w:val="20"/>
        </w:rPr>
      </w:pPr>
      <w:r w:rsidRPr="00D46BE7">
        <w:rPr>
          <w:szCs w:val="20"/>
        </w:rPr>
        <w:t>Specialty Finance</w:t>
      </w:r>
      <w:r w:rsidR="00D46BE7">
        <w:rPr>
          <w:szCs w:val="20"/>
        </w:rPr>
        <w:t xml:space="preserve">: </w:t>
      </w:r>
      <w:r w:rsidR="00D46BE7">
        <w:rPr>
          <w:szCs w:val="20"/>
        </w:rPr>
        <w:t>Specialty finance could be a wide range of gross revenues, but specific to a certain industries like technology, healthcare or even specific types of lending like equipment finance.</w:t>
      </w:r>
    </w:p>
    <w:p w14:paraId="238504A4" w14:textId="75A6B3D0" w:rsidR="009C5A7A" w:rsidRPr="00763A79" w:rsidRDefault="00987FB7" w:rsidP="006D2BE7">
      <w:pPr>
        <w:spacing w:after="120" w:line="240" w:lineRule="auto"/>
        <w:contextualSpacing/>
        <w:rPr>
          <w:szCs w:val="20"/>
        </w:rPr>
      </w:pPr>
      <w:r>
        <w:rPr>
          <w:szCs w:val="20"/>
        </w:rPr>
        <w:t xml:space="preserve">These segments tend to employ </w:t>
      </w:r>
      <w:r w:rsidR="00D46BE7">
        <w:rPr>
          <w:szCs w:val="20"/>
        </w:rPr>
        <w:t>B</w:t>
      </w:r>
      <w:r>
        <w:rPr>
          <w:szCs w:val="20"/>
        </w:rPr>
        <w:t>ankers who have s</w:t>
      </w:r>
      <w:r w:rsidR="009E323C">
        <w:rPr>
          <w:szCs w:val="20"/>
        </w:rPr>
        <w:t>ubject matter expertise</w:t>
      </w:r>
      <w:r>
        <w:rPr>
          <w:szCs w:val="20"/>
        </w:rPr>
        <w:t xml:space="preserve"> in those defined areas, but the back-office (including the credit approval function) is more general in nature.</w:t>
      </w:r>
    </w:p>
    <w:p w14:paraId="1871B1E6" w14:textId="77777777" w:rsidR="00CA7C58" w:rsidRPr="00763A79" w:rsidRDefault="00CA7C58" w:rsidP="006D2BE7">
      <w:pPr>
        <w:spacing w:after="120" w:line="240" w:lineRule="auto"/>
        <w:contextualSpacing/>
        <w:rPr>
          <w:szCs w:val="20"/>
        </w:rPr>
      </w:pPr>
    </w:p>
    <w:p w14:paraId="66301084" w14:textId="1C28F4AE" w:rsidR="00CA7C58" w:rsidRPr="00763A79" w:rsidRDefault="00F87C10" w:rsidP="006D2BE7">
      <w:pPr>
        <w:spacing w:after="120" w:line="240" w:lineRule="auto"/>
        <w:contextualSpacing/>
        <w:rPr>
          <w:b/>
          <w:bCs w:val="0"/>
          <w:szCs w:val="20"/>
        </w:rPr>
      </w:pPr>
      <w:r>
        <w:rPr>
          <w:b/>
          <w:bCs w:val="0"/>
          <w:szCs w:val="20"/>
        </w:rPr>
        <w:t>Outcomes for the Bank</w:t>
      </w:r>
    </w:p>
    <w:p w14:paraId="5FDE129B" w14:textId="1A8F77A0" w:rsidR="00987FB7" w:rsidRDefault="00987FB7" w:rsidP="006D2BE7">
      <w:pPr>
        <w:spacing w:after="120" w:line="240" w:lineRule="auto"/>
        <w:contextualSpacing/>
        <w:rPr>
          <w:szCs w:val="20"/>
        </w:rPr>
      </w:pPr>
      <w:r>
        <w:rPr>
          <w:szCs w:val="20"/>
        </w:rPr>
        <w:t>Despite which segment a bank</w:t>
      </w:r>
      <w:r w:rsidR="00D46BE7">
        <w:rPr>
          <w:szCs w:val="20"/>
        </w:rPr>
        <w:t xml:space="preserve"> or credit union</w:t>
      </w:r>
      <w:r>
        <w:rPr>
          <w:szCs w:val="20"/>
        </w:rPr>
        <w:t xml:space="preserve"> is focused on, the most important outcome the bank is focused on relates to one of two common themes:</w:t>
      </w:r>
    </w:p>
    <w:p w14:paraId="6CA1413B" w14:textId="13D38D3B" w:rsidR="008850B2" w:rsidRDefault="00F87C10" w:rsidP="006D2BE7">
      <w:pPr>
        <w:pStyle w:val="ListParagraph"/>
        <w:numPr>
          <w:ilvl w:val="0"/>
          <w:numId w:val="8"/>
        </w:numPr>
        <w:spacing w:after="120" w:line="240" w:lineRule="auto"/>
        <w:rPr>
          <w:szCs w:val="20"/>
        </w:rPr>
      </w:pPr>
      <w:r w:rsidRPr="00EA2AD5">
        <w:rPr>
          <w:szCs w:val="20"/>
          <w:u w:val="single"/>
        </w:rPr>
        <w:t xml:space="preserve">The </w:t>
      </w:r>
      <w:r w:rsidR="008850B2" w:rsidRPr="00EA2AD5">
        <w:rPr>
          <w:szCs w:val="20"/>
          <w:u w:val="single"/>
        </w:rPr>
        <w:t>ability to “cross-sell</w:t>
      </w:r>
      <w:r w:rsidR="00EA2AD5" w:rsidRPr="00EA2AD5">
        <w:rPr>
          <w:szCs w:val="20"/>
          <w:u w:val="single"/>
        </w:rPr>
        <w:t>”</w:t>
      </w:r>
      <w:r w:rsidR="008850B2" w:rsidRPr="00EA2AD5">
        <w:rPr>
          <w:szCs w:val="20"/>
          <w:u w:val="single"/>
        </w:rPr>
        <w:t xml:space="preserve"> the relationship</w:t>
      </w:r>
      <w:r w:rsidR="009E323C">
        <w:rPr>
          <w:szCs w:val="20"/>
          <w:u w:val="single"/>
        </w:rPr>
        <w:t xml:space="preserve"> into other areas of</w:t>
      </w:r>
      <w:r w:rsidR="008850B2" w:rsidRPr="00EA2AD5">
        <w:rPr>
          <w:szCs w:val="20"/>
          <w:u w:val="single"/>
        </w:rPr>
        <w:t xml:space="preserve"> the bank</w:t>
      </w:r>
      <w:r w:rsidR="005A1F1D">
        <w:rPr>
          <w:szCs w:val="20"/>
          <w:u w:val="single"/>
        </w:rPr>
        <w:t>:</w:t>
      </w:r>
      <w:r w:rsidR="005A1F1D" w:rsidRPr="005A1F1D">
        <w:rPr>
          <w:szCs w:val="20"/>
        </w:rPr>
        <w:t xml:space="preserve"> e</w:t>
      </w:r>
      <w:r w:rsidR="0088445D">
        <w:rPr>
          <w:szCs w:val="20"/>
        </w:rPr>
        <w:t>xamples include Treasury Management, Foreign Exchange Services, Business Card Spend Management</w:t>
      </w:r>
      <w:r w:rsidR="003A248E">
        <w:rPr>
          <w:szCs w:val="20"/>
        </w:rPr>
        <w:t xml:space="preserve"> and Merchant Services (in addition to cross-selling consumer-oriented products and services like mortgage and consumer loans). </w:t>
      </w:r>
      <w:r w:rsidR="009E323C">
        <w:rPr>
          <w:szCs w:val="20"/>
        </w:rPr>
        <w:t xml:space="preserve">Cross-selling also generates new revenue for the bank, which enhances ROA and ROE. Cross-selling </w:t>
      </w:r>
      <w:r w:rsidR="00EA2AD5">
        <w:rPr>
          <w:szCs w:val="20"/>
        </w:rPr>
        <w:t xml:space="preserve">also benefits the bank because relationships tend to be “sticky” and churn is very low. </w:t>
      </w:r>
    </w:p>
    <w:p w14:paraId="697B5197" w14:textId="536163B4" w:rsidR="00F87C10" w:rsidRPr="003E5CDB" w:rsidRDefault="008850B2" w:rsidP="006D2BE7">
      <w:pPr>
        <w:pStyle w:val="ListParagraph"/>
        <w:numPr>
          <w:ilvl w:val="0"/>
          <w:numId w:val="8"/>
        </w:numPr>
        <w:spacing w:after="120" w:line="240" w:lineRule="auto"/>
        <w:rPr>
          <w:szCs w:val="20"/>
        </w:rPr>
      </w:pPr>
      <w:r w:rsidRPr="00EA2AD5">
        <w:rPr>
          <w:szCs w:val="20"/>
          <w:u w:val="single"/>
        </w:rPr>
        <w:t>The ability to source inexpensive commercial deposits.</w:t>
      </w:r>
      <w:r>
        <w:rPr>
          <w:szCs w:val="20"/>
        </w:rPr>
        <w:t xml:space="preserve"> The </w:t>
      </w:r>
      <w:r w:rsidR="00F87C10" w:rsidRPr="00987FB7">
        <w:rPr>
          <w:szCs w:val="20"/>
        </w:rPr>
        <w:t>cheapest form of funding for a bank</w:t>
      </w:r>
      <w:r w:rsidR="003A248E">
        <w:rPr>
          <w:szCs w:val="20"/>
        </w:rPr>
        <w:t xml:space="preserve"> </w:t>
      </w:r>
      <w:r w:rsidR="00F87C10" w:rsidRPr="00987FB7">
        <w:rPr>
          <w:szCs w:val="20"/>
        </w:rPr>
        <w:t>comes from various segments within the</w:t>
      </w:r>
      <w:r w:rsidR="003E5CDB">
        <w:rPr>
          <w:szCs w:val="20"/>
        </w:rPr>
        <w:t xml:space="preserve"> small </w:t>
      </w:r>
      <w:r w:rsidR="00F87C10" w:rsidRPr="00987FB7">
        <w:rPr>
          <w:szCs w:val="20"/>
        </w:rPr>
        <w:t>and middle-market spectrum</w:t>
      </w:r>
      <w:r w:rsidR="003A248E">
        <w:rPr>
          <w:szCs w:val="20"/>
        </w:rPr>
        <w:t xml:space="preserve">. </w:t>
      </w:r>
      <w:r w:rsidR="003E5CDB">
        <w:rPr>
          <w:szCs w:val="20"/>
        </w:rPr>
        <w:t>Generally,</w:t>
      </w:r>
      <w:r w:rsidR="003A248E">
        <w:rPr>
          <w:szCs w:val="20"/>
        </w:rPr>
        <w:t xml:space="preserve"> a</w:t>
      </w:r>
      <w:r w:rsidR="003E5CDB">
        <w:rPr>
          <w:szCs w:val="20"/>
        </w:rPr>
        <w:t xml:space="preserve"> bank is not paying interest on these accounts, but rather compensating the client by “waiving” fees associated with other services</w:t>
      </w:r>
      <w:r w:rsidR="003A248E">
        <w:rPr>
          <w:szCs w:val="20"/>
        </w:rPr>
        <w:t>, which</w:t>
      </w:r>
      <w:r w:rsidR="003E5CDB">
        <w:rPr>
          <w:szCs w:val="20"/>
        </w:rPr>
        <w:t xml:space="preserve"> include </w:t>
      </w:r>
      <w:r w:rsidR="003A248E">
        <w:rPr>
          <w:szCs w:val="20"/>
        </w:rPr>
        <w:t xml:space="preserve">commercial </w:t>
      </w:r>
      <w:r w:rsidR="00F66A1A">
        <w:rPr>
          <w:szCs w:val="20"/>
        </w:rPr>
        <w:t>digital</w:t>
      </w:r>
      <w:r w:rsidR="003E5CDB">
        <w:rPr>
          <w:szCs w:val="20"/>
        </w:rPr>
        <w:t xml:space="preserve"> banking</w:t>
      </w:r>
      <w:r w:rsidR="003A248E">
        <w:rPr>
          <w:szCs w:val="20"/>
        </w:rPr>
        <w:t xml:space="preserve"> or </w:t>
      </w:r>
      <w:r w:rsidR="003E5CDB">
        <w:rPr>
          <w:szCs w:val="20"/>
        </w:rPr>
        <w:t>volume-based fees associated with money movement</w:t>
      </w:r>
      <w:r w:rsidR="003A248E">
        <w:rPr>
          <w:szCs w:val="20"/>
        </w:rPr>
        <w:t>. This practice is known as Account Analysis.</w:t>
      </w:r>
    </w:p>
    <w:p w14:paraId="05B4A981" w14:textId="3D7F33D5" w:rsidR="00F66A1A" w:rsidRDefault="003E5CDB" w:rsidP="00AD7113">
      <w:pPr>
        <w:spacing w:after="120" w:line="240" w:lineRule="auto"/>
        <w:contextualSpacing/>
        <w:rPr>
          <w:b/>
          <w:bCs w:val="0"/>
          <w:szCs w:val="20"/>
        </w:rPr>
      </w:pPr>
      <w:r w:rsidRPr="00F66A1A">
        <w:rPr>
          <w:b/>
          <w:bCs w:val="0"/>
          <w:szCs w:val="20"/>
        </w:rPr>
        <w:t xml:space="preserve">Note: it is important to note that for a bank to have the opportunity to source deposits they often </w:t>
      </w:r>
      <w:r w:rsidR="00A9153D" w:rsidRPr="00F66A1A">
        <w:rPr>
          <w:b/>
          <w:bCs w:val="0"/>
          <w:szCs w:val="20"/>
        </w:rPr>
        <w:t>must</w:t>
      </w:r>
      <w:r w:rsidRPr="00F66A1A">
        <w:rPr>
          <w:b/>
          <w:bCs w:val="0"/>
          <w:szCs w:val="20"/>
        </w:rPr>
        <w:t xml:space="preserve"> </w:t>
      </w:r>
      <w:r w:rsidR="006D2BE7">
        <w:rPr>
          <w:b/>
          <w:bCs w:val="0"/>
          <w:szCs w:val="20"/>
        </w:rPr>
        <w:t xml:space="preserve">first </w:t>
      </w:r>
      <w:r w:rsidRPr="00F66A1A">
        <w:rPr>
          <w:b/>
          <w:bCs w:val="0"/>
          <w:szCs w:val="20"/>
        </w:rPr>
        <w:t>extend credit to the business (to the extent the business has a capital need).</w:t>
      </w:r>
      <w:r w:rsidR="00CF34B8">
        <w:rPr>
          <w:b/>
          <w:bCs w:val="0"/>
          <w:szCs w:val="20"/>
        </w:rPr>
        <w:t xml:space="preserve"> Once the loan is approved and funded, </w:t>
      </w:r>
      <w:r w:rsidR="006D2BE7">
        <w:rPr>
          <w:b/>
          <w:bCs w:val="0"/>
          <w:szCs w:val="20"/>
        </w:rPr>
        <w:t>banks and credit unions then bring in treasury sales partners to evaluate the cash management needs of the business. To the extent the loan is declined (or specific rates, terms and conditions of the client are not met), the bank or credit union will generally not have the opportunity to win additional business.</w:t>
      </w:r>
    </w:p>
    <w:p w14:paraId="4ABC646D" w14:textId="77777777" w:rsidR="0088445D" w:rsidRDefault="0088445D" w:rsidP="00AD7113">
      <w:pPr>
        <w:spacing w:after="120" w:line="240" w:lineRule="auto"/>
        <w:contextualSpacing/>
        <w:rPr>
          <w:b/>
          <w:bCs w:val="0"/>
          <w:szCs w:val="20"/>
        </w:rPr>
      </w:pPr>
    </w:p>
    <w:p w14:paraId="04C05F75" w14:textId="77777777" w:rsidR="006A015D" w:rsidRDefault="006A015D" w:rsidP="00AD7113">
      <w:pPr>
        <w:spacing w:after="120" w:line="240" w:lineRule="auto"/>
        <w:contextualSpacing/>
        <w:rPr>
          <w:b/>
          <w:szCs w:val="20"/>
        </w:rPr>
      </w:pPr>
      <w:r>
        <w:rPr>
          <w:b/>
          <w:szCs w:val="20"/>
        </w:rPr>
        <w:t>Risk vs. Return Methodologies</w:t>
      </w:r>
    </w:p>
    <w:p w14:paraId="375A9087" w14:textId="51CADC95" w:rsidR="00AD7113" w:rsidRPr="00AD7113" w:rsidRDefault="00AD7113" w:rsidP="00AD7113">
      <w:pPr>
        <w:spacing w:after="120" w:line="240" w:lineRule="auto"/>
        <w:contextualSpacing/>
        <w:rPr>
          <w:bCs w:val="0"/>
          <w:szCs w:val="20"/>
        </w:rPr>
      </w:pPr>
      <w:r>
        <w:rPr>
          <w:bCs w:val="0"/>
          <w:szCs w:val="20"/>
        </w:rPr>
        <w:t>Banks are constantly managing the risk vs. return dynamic in virtually everything they do. This applies to amount of risk they want to incur from a fraud perspective, regulatory perspective and from a loan portfolio perspective (relative to lending money to SMB and Middle Market corporates</w:t>
      </w:r>
      <w:r w:rsidR="000721AD">
        <w:rPr>
          <w:bCs w:val="0"/>
          <w:szCs w:val="20"/>
        </w:rPr>
        <w:t>)</w:t>
      </w:r>
      <w:r>
        <w:rPr>
          <w:bCs w:val="0"/>
          <w:szCs w:val="20"/>
        </w:rPr>
        <w:t xml:space="preserve">. The outline below helps frame how a bank evaluates risk at the individual client level (specifically the risk of or probability of actual loss should a company default). </w:t>
      </w:r>
    </w:p>
    <w:p w14:paraId="2D60602A" w14:textId="77777777" w:rsidR="00AD7113" w:rsidRPr="00AD7113" w:rsidRDefault="006A015D" w:rsidP="00AD7113">
      <w:pPr>
        <w:pStyle w:val="ListParagraph"/>
        <w:numPr>
          <w:ilvl w:val="0"/>
          <w:numId w:val="15"/>
        </w:numPr>
        <w:spacing w:after="120" w:line="240" w:lineRule="auto"/>
        <w:rPr>
          <w:szCs w:val="20"/>
        </w:rPr>
      </w:pPr>
      <w:r w:rsidRPr="00AD7113">
        <w:rPr>
          <w:szCs w:val="20"/>
        </w:rPr>
        <w:t>Gross Profit Trends</w:t>
      </w:r>
      <w:r w:rsidR="00AD7113" w:rsidRPr="00AD7113">
        <w:rPr>
          <w:szCs w:val="20"/>
        </w:rPr>
        <w:t xml:space="preserve">: </w:t>
      </w:r>
      <w:r w:rsidRPr="00AD7113">
        <w:rPr>
          <w:szCs w:val="20"/>
        </w:rPr>
        <w:t>Gross Profit less Cost of Goods Sold expressed as a %</w:t>
      </w:r>
    </w:p>
    <w:p w14:paraId="384F5A0F" w14:textId="77777777" w:rsidR="00AD7113" w:rsidRPr="00AD7113" w:rsidRDefault="006A015D" w:rsidP="00AD7113">
      <w:pPr>
        <w:pStyle w:val="ListParagraph"/>
        <w:numPr>
          <w:ilvl w:val="0"/>
          <w:numId w:val="15"/>
        </w:numPr>
        <w:spacing w:after="120" w:line="240" w:lineRule="auto"/>
        <w:rPr>
          <w:szCs w:val="20"/>
        </w:rPr>
      </w:pPr>
      <w:r w:rsidRPr="00AD7113">
        <w:rPr>
          <w:szCs w:val="20"/>
        </w:rPr>
        <w:t>Net Profit Trends</w:t>
      </w:r>
      <w:r w:rsidR="00AD7113" w:rsidRPr="00AD7113">
        <w:rPr>
          <w:szCs w:val="20"/>
        </w:rPr>
        <w:t xml:space="preserve">: </w:t>
      </w:r>
      <w:r w:rsidRPr="00AD7113">
        <w:rPr>
          <w:szCs w:val="20"/>
        </w:rPr>
        <w:t>Bottom line net profit for the period</w:t>
      </w:r>
    </w:p>
    <w:p w14:paraId="4FFDCDF6" w14:textId="77777777" w:rsidR="00AD7113" w:rsidRPr="00AD7113" w:rsidRDefault="006A015D" w:rsidP="00AD7113">
      <w:pPr>
        <w:pStyle w:val="ListParagraph"/>
        <w:numPr>
          <w:ilvl w:val="0"/>
          <w:numId w:val="15"/>
        </w:numPr>
        <w:spacing w:after="120" w:line="240" w:lineRule="auto"/>
        <w:rPr>
          <w:szCs w:val="20"/>
        </w:rPr>
      </w:pPr>
      <w:r w:rsidRPr="00AD7113">
        <w:rPr>
          <w:szCs w:val="20"/>
        </w:rPr>
        <w:t>EBITDA Trends</w:t>
      </w:r>
      <w:r w:rsidR="00AD7113" w:rsidRPr="00AD7113">
        <w:rPr>
          <w:szCs w:val="20"/>
        </w:rPr>
        <w:t xml:space="preserve">: </w:t>
      </w:r>
      <w:r w:rsidRPr="00AD7113">
        <w:rPr>
          <w:szCs w:val="20"/>
        </w:rPr>
        <w:t>Earnings before Interest, Taxes, Depreciation and Amortization</w:t>
      </w:r>
    </w:p>
    <w:p w14:paraId="1249855B" w14:textId="77777777" w:rsidR="00AD7113" w:rsidRPr="00AD7113" w:rsidRDefault="006A015D" w:rsidP="00AD7113">
      <w:pPr>
        <w:pStyle w:val="ListParagraph"/>
        <w:numPr>
          <w:ilvl w:val="0"/>
          <w:numId w:val="15"/>
        </w:numPr>
        <w:spacing w:after="120" w:line="240" w:lineRule="auto"/>
        <w:rPr>
          <w:szCs w:val="20"/>
        </w:rPr>
      </w:pPr>
      <w:r w:rsidRPr="00AD7113">
        <w:rPr>
          <w:szCs w:val="20"/>
        </w:rPr>
        <w:t>Pre-Transaction Debt Service Coverage</w:t>
      </w:r>
      <w:r w:rsidR="00AD7113" w:rsidRPr="00AD7113">
        <w:rPr>
          <w:szCs w:val="20"/>
        </w:rPr>
        <w:t xml:space="preserve">: </w:t>
      </w:r>
      <w:r w:rsidRPr="00AD7113">
        <w:rPr>
          <w:szCs w:val="20"/>
        </w:rPr>
        <w:t>EBITDA and Balance Sheet - Total Debt Service</w:t>
      </w:r>
    </w:p>
    <w:p w14:paraId="2E8FCA67" w14:textId="77777777" w:rsidR="00AD7113" w:rsidRPr="00AD7113" w:rsidRDefault="006A015D" w:rsidP="00AD7113">
      <w:pPr>
        <w:pStyle w:val="ListParagraph"/>
        <w:numPr>
          <w:ilvl w:val="0"/>
          <w:numId w:val="15"/>
        </w:numPr>
        <w:spacing w:after="120" w:line="240" w:lineRule="auto"/>
        <w:rPr>
          <w:szCs w:val="20"/>
        </w:rPr>
      </w:pPr>
      <w:r w:rsidRPr="00AD7113">
        <w:rPr>
          <w:szCs w:val="20"/>
        </w:rPr>
        <w:t>Post-Transaction Debt Service Coverage</w:t>
      </w:r>
      <w:r w:rsidR="00AD7113" w:rsidRPr="00AD7113">
        <w:rPr>
          <w:szCs w:val="20"/>
        </w:rPr>
        <w:t>:</w:t>
      </w:r>
      <w:r w:rsidRPr="00AD7113">
        <w:rPr>
          <w:szCs w:val="20"/>
        </w:rPr>
        <w:t xml:space="preserve"> EBITDA and Balance Sheet - Total Debt Service</w:t>
      </w:r>
    </w:p>
    <w:p w14:paraId="3E704916" w14:textId="77777777" w:rsidR="00AD7113" w:rsidRPr="00AD7113" w:rsidRDefault="006A015D" w:rsidP="00AD7113">
      <w:pPr>
        <w:pStyle w:val="ListParagraph"/>
        <w:numPr>
          <w:ilvl w:val="0"/>
          <w:numId w:val="15"/>
        </w:numPr>
        <w:spacing w:after="120" w:line="240" w:lineRule="auto"/>
        <w:rPr>
          <w:szCs w:val="20"/>
        </w:rPr>
      </w:pPr>
      <w:r w:rsidRPr="00AD7113">
        <w:rPr>
          <w:szCs w:val="20"/>
        </w:rPr>
        <w:t>Pre-Transaction Leverage</w:t>
      </w:r>
      <w:r w:rsidR="00AD7113" w:rsidRPr="00AD7113">
        <w:rPr>
          <w:szCs w:val="20"/>
        </w:rPr>
        <w:t xml:space="preserve">: </w:t>
      </w:r>
      <w:r w:rsidRPr="00AD7113">
        <w:rPr>
          <w:szCs w:val="20"/>
        </w:rPr>
        <w:t>EBITDA and Balance Sheet - Total Debt Service</w:t>
      </w:r>
    </w:p>
    <w:p w14:paraId="090A4B32" w14:textId="081C5B28" w:rsidR="00AD7113" w:rsidRPr="00AD7113" w:rsidRDefault="006A015D" w:rsidP="00AD7113">
      <w:pPr>
        <w:pStyle w:val="ListParagraph"/>
        <w:numPr>
          <w:ilvl w:val="0"/>
          <w:numId w:val="15"/>
        </w:numPr>
        <w:spacing w:after="120" w:line="240" w:lineRule="auto"/>
        <w:rPr>
          <w:szCs w:val="20"/>
        </w:rPr>
      </w:pPr>
      <w:r w:rsidRPr="00AD7113">
        <w:rPr>
          <w:szCs w:val="20"/>
        </w:rPr>
        <w:t>Post-Transaction Leverage</w:t>
      </w:r>
      <w:r w:rsidR="00AD7113">
        <w:rPr>
          <w:szCs w:val="20"/>
        </w:rPr>
        <w:t>:</w:t>
      </w:r>
      <w:r w:rsidRPr="00AD7113">
        <w:rPr>
          <w:szCs w:val="20"/>
        </w:rPr>
        <w:t xml:space="preserve"> EBITDA and Balance Sheet - Total Debt Service</w:t>
      </w:r>
    </w:p>
    <w:p w14:paraId="63359092" w14:textId="305F9F63" w:rsidR="00AD7113" w:rsidRPr="00AD7113" w:rsidRDefault="006A015D" w:rsidP="00AD7113">
      <w:pPr>
        <w:pStyle w:val="ListParagraph"/>
        <w:numPr>
          <w:ilvl w:val="0"/>
          <w:numId w:val="15"/>
        </w:numPr>
        <w:spacing w:after="120" w:line="240" w:lineRule="auto"/>
        <w:rPr>
          <w:szCs w:val="20"/>
        </w:rPr>
      </w:pPr>
      <w:r w:rsidRPr="00AD7113">
        <w:rPr>
          <w:szCs w:val="20"/>
        </w:rPr>
        <w:lastRenderedPageBreak/>
        <w:t>Asset Margin Parameters</w:t>
      </w:r>
      <w:r w:rsidR="00AD7113">
        <w:rPr>
          <w:szCs w:val="20"/>
        </w:rPr>
        <w:t>:</w:t>
      </w:r>
      <w:r w:rsidRPr="00AD7113">
        <w:rPr>
          <w:szCs w:val="20"/>
        </w:rPr>
        <w:t xml:space="preserve"> LTV, LTC on CRE or Borrowing Base Parameters on C&amp;I</w:t>
      </w:r>
    </w:p>
    <w:p w14:paraId="75DCD19C" w14:textId="77777777" w:rsidR="00AD7113" w:rsidRPr="00AD7113" w:rsidRDefault="006A015D" w:rsidP="00AD7113">
      <w:pPr>
        <w:pStyle w:val="ListParagraph"/>
        <w:numPr>
          <w:ilvl w:val="0"/>
          <w:numId w:val="15"/>
        </w:numPr>
        <w:spacing w:after="120" w:line="240" w:lineRule="auto"/>
        <w:rPr>
          <w:szCs w:val="20"/>
        </w:rPr>
      </w:pPr>
      <w:r w:rsidRPr="00AD7113">
        <w:rPr>
          <w:szCs w:val="20"/>
        </w:rPr>
        <w:t>Net Worth Trends (Balance Sheet)</w:t>
      </w:r>
    </w:p>
    <w:p w14:paraId="631AB443" w14:textId="4DA6C57F" w:rsidR="006A015D" w:rsidRPr="00AD7113" w:rsidRDefault="006A015D" w:rsidP="00AD7113">
      <w:pPr>
        <w:pStyle w:val="ListParagraph"/>
        <w:numPr>
          <w:ilvl w:val="0"/>
          <w:numId w:val="15"/>
        </w:numPr>
        <w:spacing w:after="120" w:line="240" w:lineRule="auto"/>
        <w:rPr>
          <w:szCs w:val="20"/>
        </w:rPr>
      </w:pPr>
      <w:r w:rsidRPr="00AD7113">
        <w:rPr>
          <w:szCs w:val="20"/>
        </w:rPr>
        <w:t>Concentrations</w:t>
      </w:r>
      <w:r w:rsidR="00AD7113">
        <w:rPr>
          <w:szCs w:val="20"/>
        </w:rPr>
        <w:t xml:space="preserve">: </w:t>
      </w:r>
      <w:r w:rsidRPr="00AD7113">
        <w:rPr>
          <w:szCs w:val="20"/>
        </w:rPr>
        <w:t>client concentrations, specifically</w:t>
      </w:r>
    </w:p>
    <w:p w14:paraId="00F4BC4B" w14:textId="77777777" w:rsidR="006A015D" w:rsidRDefault="006A015D" w:rsidP="00AD7113">
      <w:pPr>
        <w:spacing w:after="120" w:line="240" w:lineRule="auto"/>
        <w:contextualSpacing/>
        <w:rPr>
          <w:b/>
          <w:bCs w:val="0"/>
          <w:szCs w:val="20"/>
        </w:rPr>
      </w:pPr>
    </w:p>
    <w:p w14:paraId="7C167A67" w14:textId="106B56FC" w:rsidR="00D46BE7" w:rsidRDefault="00D46BE7" w:rsidP="00AD7113">
      <w:pPr>
        <w:spacing w:after="120" w:line="240" w:lineRule="auto"/>
        <w:contextualSpacing/>
        <w:rPr>
          <w:b/>
          <w:bCs w:val="0"/>
          <w:szCs w:val="20"/>
        </w:rPr>
      </w:pPr>
      <w:r>
        <w:rPr>
          <w:b/>
          <w:bCs w:val="0"/>
          <w:szCs w:val="20"/>
        </w:rPr>
        <w:t>Important Traits of Treasury Management (Cash Management)</w:t>
      </w:r>
    </w:p>
    <w:p w14:paraId="2C2465BE" w14:textId="02FD4B58" w:rsidR="00D46BE7" w:rsidRDefault="00D46BE7" w:rsidP="00AD7113">
      <w:pPr>
        <w:spacing w:after="120" w:line="240" w:lineRule="auto"/>
        <w:contextualSpacing/>
        <w:rPr>
          <w:szCs w:val="20"/>
        </w:rPr>
      </w:pPr>
      <w:r>
        <w:rPr>
          <w:szCs w:val="20"/>
        </w:rPr>
        <w:t xml:space="preserve">Banks and Credit Unions tend to white label treasury management services they have purchased from digital banking providers like Q2, NCR, Alkami and others. Typical spend for these products (depending on asset size of the bank or credit union) are high six figures or low seven figures annually. Banks and credit unions are typically seeking at least a 30% margin on treasury services, but some products like positive pay may be much higher (50-70% because the demand is higher). Banks and credit unions are generally seeking capabilities that will allow for: </w:t>
      </w:r>
    </w:p>
    <w:p w14:paraId="1B87294B" w14:textId="77777777" w:rsidR="00D46BE7" w:rsidRDefault="00D46BE7" w:rsidP="006D2BE7">
      <w:pPr>
        <w:spacing w:after="120" w:line="240" w:lineRule="auto"/>
        <w:contextualSpacing/>
        <w:rPr>
          <w:szCs w:val="20"/>
        </w:rPr>
      </w:pPr>
    </w:p>
    <w:p w14:paraId="02991570" w14:textId="09C86E7D" w:rsidR="00D46BE7" w:rsidRDefault="00D46BE7" w:rsidP="006D2BE7">
      <w:pPr>
        <w:pStyle w:val="ListParagraph"/>
        <w:numPr>
          <w:ilvl w:val="0"/>
          <w:numId w:val="14"/>
        </w:numPr>
        <w:spacing w:after="120" w:line="240" w:lineRule="auto"/>
        <w:rPr>
          <w:szCs w:val="20"/>
        </w:rPr>
      </w:pPr>
      <w:r w:rsidRPr="00CF34B8">
        <w:rPr>
          <w:szCs w:val="20"/>
          <w:u w:val="single"/>
        </w:rPr>
        <w:t xml:space="preserve">Digital Onboarding of a </w:t>
      </w:r>
      <w:r w:rsidR="00CF34B8" w:rsidRPr="00CF34B8">
        <w:rPr>
          <w:szCs w:val="20"/>
          <w:u w:val="single"/>
        </w:rPr>
        <w:t>Client</w:t>
      </w:r>
      <w:r w:rsidR="00CF34B8">
        <w:rPr>
          <w:szCs w:val="20"/>
          <w:u w:val="single"/>
        </w:rPr>
        <w:t>:</w:t>
      </w:r>
      <w:r w:rsidR="00CF34B8">
        <w:rPr>
          <w:szCs w:val="20"/>
        </w:rPr>
        <w:t xml:space="preserve"> banks and credit unions are using spreadsheets to take a client through the sales process, which then must be keystroked into the treasury technology during the onboarding process.</w:t>
      </w:r>
    </w:p>
    <w:p w14:paraId="7BB7F062" w14:textId="5D2FE100" w:rsidR="00D46BE7" w:rsidRDefault="00D46BE7" w:rsidP="006D2BE7">
      <w:pPr>
        <w:pStyle w:val="ListParagraph"/>
        <w:numPr>
          <w:ilvl w:val="0"/>
          <w:numId w:val="14"/>
        </w:numPr>
        <w:spacing w:after="120" w:line="240" w:lineRule="auto"/>
        <w:rPr>
          <w:szCs w:val="20"/>
        </w:rPr>
      </w:pPr>
      <w:r w:rsidRPr="00CF34B8">
        <w:rPr>
          <w:szCs w:val="20"/>
          <w:u w:val="single"/>
        </w:rPr>
        <w:t>Money Movement Functions</w:t>
      </w:r>
      <w:r w:rsidR="00CF34B8" w:rsidRPr="00CF34B8">
        <w:rPr>
          <w:szCs w:val="20"/>
          <w:u w:val="single"/>
        </w:rPr>
        <w:t>:</w:t>
      </w:r>
      <w:r w:rsidR="00CF34B8">
        <w:rPr>
          <w:szCs w:val="20"/>
        </w:rPr>
        <w:t xml:space="preserve"> including checks, wires, ACH</w:t>
      </w:r>
    </w:p>
    <w:p w14:paraId="4DE239D7" w14:textId="4CC21864" w:rsidR="00D46BE7" w:rsidRDefault="00D46BE7" w:rsidP="006D2BE7">
      <w:pPr>
        <w:pStyle w:val="ListParagraph"/>
        <w:numPr>
          <w:ilvl w:val="0"/>
          <w:numId w:val="14"/>
        </w:numPr>
        <w:spacing w:after="120" w:line="240" w:lineRule="auto"/>
        <w:rPr>
          <w:szCs w:val="20"/>
        </w:rPr>
      </w:pPr>
      <w:r w:rsidRPr="00CF34B8">
        <w:rPr>
          <w:szCs w:val="20"/>
          <w:u w:val="single"/>
        </w:rPr>
        <w:t>Entitlements:</w:t>
      </w:r>
      <w:r>
        <w:rPr>
          <w:szCs w:val="20"/>
        </w:rPr>
        <w:t xml:space="preserve"> allowing a client to determine who they allow capabilities to and the dollar amount of </w:t>
      </w:r>
      <w:r w:rsidR="00CF34B8">
        <w:rPr>
          <w:szCs w:val="20"/>
        </w:rPr>
        <w:t>approval they allow (ex. a wire or ACH of $100,000 will have a more streamlined approval chain than a $1,000,000 wire)</w:t>
      </w:r>
    </w:p>
    <w:p w14:paraId="492E7471" w14:textId="2ADEE6CA" w:rsidR="00CF34B8" w:rsidRPr="00D46BE7" w:rsidRDefault="00CF34B8" w:rsidP="006D2BE7">
      <w:pPr>
        <w:pStyle w:val="ListParagraph"/>
        <w:numPr>
          <w:ilvl w:val="0"/>
          <w:numId w:val="14"/>
        </w:numPr>
        <w:spacing w:after="120" w:line="240" w:lineRule="auto"/>
        <w:rPr>
          <w:szCs w:val="20"/>
        </w:rPr>
      </w:pPr>
      <w:r w:rsidRPr="00CF34B8">
        <w:rPr>
          <w:szCs w:val="20"/>
          <w:u w:val="single"/>
        </w:rPr>
        <w:t>Digital Account Opening:</w:t>
      </w:r>
      <w:r>
        <w:rPr>
          <w:szCs w:val="20"/>
        </w:rPr>
        <w:t xml:space="preserve"> complex process that involves onboarding, diligence checks including KYB, AML, OFAC, Beneficial Ownership and funding.</w:t>
      </w:r>
    </w:p>
    <w:p w14:paraId="46740D71" w14:textId="0C118522" w:rsidR="00C97F97" w:rsidRPr="00E42156" w:rsidRDefault="00F66A1A" w:rsidP="006D2BE7">
      <w:pPr>
        <w:spacing w:after="120" w:line="240" w:lineRule="auto"/>
        <w:contextualSpacing/>
        <w:rPr>
          <w:b/>
          <w:bCs w:val="0"/>
          <w:szCs w:val="20"/>
        </w:rPr>
      </w:pPr>
      <w:r>
        <w:rPr>
          <w:b/>
          <w:bCs w:val="0"/>
          <w:szCs w:val="20"/>
        </w:rPr>
        <w:t>Explanation of Account Analysis</w:t>
      </w:r>
    </w:p>
    <w:p w14:paraId="16C0BBAF" w14:textId="45F3DB68" w:rsidR="00E037B3" w:rsidRDefault="00F66A1A" w:rsidP="006D2BE7">
      <w:pPr>
        <w:spacing w:after="120" w:line="240" w:lineRule="auto"/>
        <w:contextualSpacing/>
        <w:rPr>
          <w:szCs w:val="20"/>
        </w:rPr>
      </w:pPr>
      <w:r w:rsidRPr="00F66A1A">
        <w:rPr>
          <w:szCs w:val="20"/>
        </w:rPr>
        <w:t>Account analysis in treasury management refers to the detailed examination of co</w:t>
      </w:r>
      <w:r w:rsidR="003A248E">
        <w:rPr>
          <w:szCs w:val="20"/>
        </w:rPr>
        <w:t>mmercial</w:t>
      </w:r>
      <w:r w:rsidRPr="00F66A1A">
        <w:rPr>
          <w:szCs w:val="20"/>
        </w:rPr>
        <w:t xml:space="preserve"> bank accounts to evaluate their profitability and assess the fees charged for various banking services. This process helps both banks and their co</w:t>
      </w:r>
      <w:r w:rsidR="003A248E">
        <w:rPr>
          <w:szCs w:val="20"/>
        </w:rPr>
        <w:t>mmercial</w:t>
      </w:r>
      <w:r w:rsidRPr="00F66A1A">
        <w:rPr>
          <w:szCs w:val="20"/>
        </w:rPr>
        <w:t xml:space="preserve"> clients understand the value and costs associated with the account relationship</w:t>
      </w:r>
      <w:r>
        <w:rPr>
          <w:szCs w:val="20"/>
        </w:rPr>
        <w:t xml:space="preserve">. </w:t>
      </w:r>
    </w:p>
    <w:p w14:paraId="45AAEF65" w14:textId="77777777" w:rsidR="00F66A1A" w:rsidRDefault="00F66A1A" w:rsidP="006D2BE7">
      <w:pPr>
        <w:spacing w:after="120" w:line="240" w:lineRule="auto"/>
        <w:contextualSpacing/>
        <w:rPr>
          <w:szCs w:val="20"/>
        </w:rPr>
      </w:pPr>
    </w:p>
    <w:p w14:paraId="0BD660F8" w14:textId="44B66707" w:rsidR="00F66A1A" w:rsidRPr="00F66A1A" w:rsidRDefault="00F66A1A" w:rsidP="006D2BE7">
      <w:pPr>
        <w:spacing w:after="120" w:line="240" w:lineRule="auto"/>
        <w:contextualSpacing/>
        <w:rPr>
          <w:szCs w:val="20"/>
        </w:rPr>
      </w:pPr>
      <w:r w:rsidRPr="00F66A1A">
        <w:rPr>
          <w:szCs w:val="20"/>
        </w:rPr>
        <w:t>Key aspects</w:t>
      </w:r>
      <w:r w:rsidR="0088445D">
        <w:rPr>
          <w:szCs w:val="20"/>
        </w:rPr>
        <w:t xml:space="preserve"> of Account Analysis</w:t>
      </w:r>
      <w:r w:rsidRPr="00F66A1A">
        <w:rPr>
          <w:szCs w:val="20"/>
        </w:rPr>
        <w:t xml:space="preserve"> include:</w:t>
      </w:r>
    </w:p>
    <w:p w14:paraId="3A52D420" w14:textId="04D44590" w:rsidR="00F66A1A" w:rsidRPr="00F66A1A" w:rsidRDefault="00F66A1A" w:rsidP="006D2BE7">
      <w:pPr>
        <w:numPr>
          <w:ilvl w:val="0"/>
          <w:numId w:val="11"/>
        </w:numPr>
        <w:spacing w:after="120" w:line="240" w:lineRule="auto"/>
        <w:contextualSpacing/>
        <w:rPr>
          <w:szCs w:val="20"/>
        </w:rPr>
      </w:pPr>
      <w:r w:rsidRPr="00F66A1A">
        <w:rPr>
          <w:szCs w:val="20"/>
          <w:u w:val="single"/>
        </w:rPr>
        <w:t>Fee calculation:</w:t>
      </w:r>
      <w:r w:rsidRPr="00F66A1A">
        <w:rPr>
          <w:szCs w:val="20"/>
        </w:rPr>
        <w:t xml:space="preserve"> </w:t>
      </w:r>
      <w:r w:rsidR="003A248E">
        <w:rPr>
          <w:szCs w:val="20"/>
        </w:rPr>
        <w:t>b</w:t>
      </w:r>
      <w:r w:rsidRPr="00F66A1A">
        <w:rPr>
          <w:szCs w:val="20"/>
        </w:rPr>
        <w:t>anks calculate fees for services like wire transfers, check processing, and cash management.</w:t>
      </w:r>
    </w:p>
    <w:p w14:paraId="16A094C9" w14:textId="07F823C0" w:rsidR="00F66A1A" w:rsidRPr="00F66A1A" w:rsidRDefault="00F66A1A" w:rsidP="006D2BE7">
      <w:pPr>
        <w:numPr>
          <w:ilvl w:val="0"/>
          <w:numId w:val="11"/>
        </w:numPr>
        <w:spacing w:after="120" w:line="240" w:lineRule="auto"/>
        <w:contextualSpacing/>
        <w:rPr>
          <w:szCs w:val="20"/>
        </w:rPr>
      </w:pPr>
      <w:r w:rsidRPr="00F66A1A">
        <w:rPr>
          <w:szCs w:val="20"/>
          <w:u w:val="single"/>
        </w:rPr>
        <w:t>Earnings credit rate (ECR):</w:t>
      </w:r>
      <w:r w:rsidRPr="00F66A1A">
        <w:rPr>
          <w:szCs w:val="20"/>
        </w:rPr>
        <w:t xml:space="preserve"> </w:t>
      </w:r>
      <w:r w:rsidR="003A248E">
        <w:rPr>
          <w:szCs w:val="20"/>
        </w:rPr>
        <w:t>a</w:t>
      </w:r>
      <w:r w:rsidRPr="00F66A1A">
        <w:rPr>
          <w:szCs w:val="20"/>
        </w:rPr>
        <w:t>n interest-like credit given on account balances to offset fees.</w:t>
      </w:r>
    </w:p>
    <w:p w14:paraId="2978AF99" w14:textId="47FDAEFB" w:rsidR="00F66A1A" w:rsidRPr="00F66A1A" w:rsidRDefault="00F66A1A" w:rsidP="006D2BE7">
      <w:pPr>
        <w:numPr>
          <w:ilvl w:val="0"/>
          <w:numId w:val="11"/>
        </w:numPr>
        <w:spacing w:after="120" w:line="240" w:lineRule="auto"/>
        <w:contextualSpacing/>
        <w:rPr>
          <w:szCs w:val="20"/>
        </w:rPr>
      </w:pPr>
      <w:r w:rsidRPr="00F66A1A">
        <w:rPr>
          <w:szCs w:val="20"/>
        </w:rPr>
        <w:t>Account statement:</w:t>
      </w:r>
      <w:r w:rsidR="003A248E">
        <w:rPr>
          <w:szCs w:val="20"/>
        </w:rPr>
        <w:t xml:space="preserve"> </w:t>
      </w:r>
      <w:r w:rsidRPr="00F66A1A">
        <w:rPr>
          <w:szCs w:val="20"/>
        </w:rPr>
        <w:t>detailed monthly report showing all services used, fees charged, and how ECR was applied.</w:t>
      </w:r>
    </w:p>
    <w:p w14:paraId="15F54C7D" w14:textId="1DD2B848" w:rsidR="00F66A1A" w:rsidRPr="00F66A1A" w:rsidRDefault="00F66A1A" w:rsidP="006D2BE7">
      <w:pPr>
        <w:numPr>
          <w:ilvl w:val="0"/>
          <w:numId w:val="11"/>
        </w:numPr>
        <w:spacing w:after="120" w:line="240" w:lineRule="auto"/>
        <w:contextualSpacing/>
        <w:rPr>
          <w:szCs w:val="20"/>
        </w:rPr>
      </w:pPr>
      <w:r w:rsidRPr="00F66A1A">
        <w:rPr>
          <w:szCs w:val="20"/>
          <w:u w:val="single"/>
        </w:rPr>
        <w:t>Pricing optimization:</w:t>
      </w:r>
      <w:r w:rsidRPr="00F66A1A">
        <w:rPr>
          <w:szCs w:val="20"/>
        </w:rPr>
        <w:t xml:space="preserve"> </w:t>
      </w:r>
      <w:r w:rsidR="003A248E">
        <w:rPr>
          <w:szCs w:val="20"/>
        </w:rPr>
        <w:t>b</w:t>
      </w:r>
      <w:r w:rsidRPr="00F66A1A">
        <w:rPr>
          <w:szCs w:val="20"/>
        </w:rPr>
        <w:t>anks use this data to optimize pricing strategies for corporate clients.</w:t>
      </w:r>
    </w:p>
    <w:p w14:paraId="7E840AF5" w14:textId="36D8D33E" w:rsidR="00F66A1A" w:rsidRPr="00F66A1A" w:rsidRDefault="00F66A1A" w:rsidP="006D2BE7">
      <w:pPr>
        <w:numPr>
          <w:ilvl w:val="0"/>
          <w:numId w:val="11"/>
        </w:numPr>
        <w:spacing w:after="120" w:line="240" w:lineRule="auto"/>
        <w:contextualSpacing/>
        <w:rPr>
          <w:szCs w:val="20"/>
        </w:rPr>
      </w:pPr>
      <w:r w:rsidRPr="00F66A1A">
        <w:rPr>
          <w:szCs w:val="20"/>
          <w:u w:val="single"/>
        </w:rPr>
        <w:t>Performance evaluation:</w:t>
      </w:r>
      <w:r w:rsidRPr="00F66A1A">
        <w:rPr>
          <w:szCs w:val="20"/>
        </w:rPr>
        <w:t xml:space="preserve"> </w:t>
      </w:r>
      <w:r w:rsidR="003A248E">
        <w:rPr>
          <w:szCs w:val="20"/>
        </w:rPr>
        <w:t>c</w:t>
      </w:r>
      <w:r w:rsidRPr="00F66A1A">
        <w:rPr>
          <w:szCs w:val="20"/>
        </w:rPr>
        <w:t>orporates use it to assess bank relationships and negotiate better terms.</w:t>
      </w:r>
    </w:p>
    <w:p w14:paraId="2AA55802" w14:textId="25CB904A" w:rsidR="00F66A1A" w:rsidRPr="00F66A1A" w:rsidRDefault="00F66A1A" w:rsidP="006D2BE7">
      <w:pPr>
        <w:numPr>
          <w:ilvl w:val="0"/>
          <w:numId w:val="11"/>
        </w:numPr>
        <w:spacing w:after="120" w:line="240" w:lineRule="auto"/>
        <w:contextualSpacing/>
        <w:rPr>
          <w:szCs w:val="20"/>
        </w:rPr>
      </w:pPr>
      <w:r w:rsidRPr="00F66A1A">
        <w:rPr>
          <w:szCs w:val="20"/>
          <w:u w:val="single"/>
        </w:rPr>
        <w:t>Cost allocation:</w:t>
      </w:r>
      <w:r w:rsidR="003A248E">
        <w:rPr>
          <w:szCs w:val="20"/>
        </w:rPr>
        <w:t xml:space="preserve"> h</w:t>
      </w:r>
      <w:r w:rsidRPr="00F66A1A">
        <w:rPr>
          <w:szCs w:val="20"/>
        </w:rPr>
        <w:t>elps businesses allocate banking costs across different departments or subsidiaries.</w:t>
      </w:r>
    </w:p>
    <w:p w14:paraId="02DEC181" w14:textId="77777777" w:rsidR="003A248E" w:rsidRDefault="003A248E" w:rsidP="006D2BE7">
      <w:pPr>
        <w:spacing w:after="120" w:line="240" w:lineRule="auto"/>
        <w:contextualSpacing/>
        <w:rPr>
          <w:szCs w:val="20"/>
        </w:rPr>
      </w:pPr>
    </w:p>
    <w:p w14:paraId="7DBF9B72" w14:textId="3EEC2496" w:rsidR="0088445D" w:rsidRPr="0088445D" w:rsidRDefault="0088445D" w:rsidP="006D2BE7">
      <w:pPr>
        <w:spacing w:after="120" w:line="240" w:lineRule="auto"/>
        <w:contextualSpacing/>
        <w:rPr>
          <w:b/>
          <w:bCs w:val="0"/>
          <w:szCs w:val="20"/>
        </w:rPr>
      </w:pPr>
      <w:r w:rsidRPr="0088445D">
        <w:rPr>
          <w:b/>
          <w:bCs w:val="0"/>
          <w:szCs w:val="20"/>
        </w:rPr>
        <w:t>Segmentation of Accounts</w:t>
      </w:r>
    </w:p>
    <w:p w14:paraId="38658E9A" w14:textId="21351237" w:rsidR="0088445D" w:rsidRDefault="003A248E" w:rsidP="006D2BE7">
      <w:pPr>
        <w:pStyle w:val="ListParagraph"/>
        <w:numPr>
          <w:ilvl w:val="0"/>
          <w:numId w:val="8"/>
        </w:numPr>
        <w:spacing w:after="120" w:line="240" w:lineRule="auto"/>
        <w:rPr>
          <w:szCs w:val="20"/>
        </w:rPr>
      </w:pPr>
      <w:r>
        <w:rPr>
          <w:szCs w:val="20"/>
          <w:u w:val="single"/>
        </w:rPr>
        <w:t xml:space="preserve">Operating and </w:t>
      </w:r>
      <w:r w:rsidR="0088445D" w:rsidRPr="003E5CDB">
        <w:rPr>
          <w:szCs w:val="20"/>
          <w:u w:val="single"/>
        </w:rPr>
        <w:t>Excess Funds, Non-Analyzed Accounts:</w:t>
      </w:r>
      <w:r w:rsidR="0088445D">
        <w:rPr>
          <w:szCs w:val="20"/>
        </w:rPr>
        <w:t xml:space="preserve"> there are several scenarios where accounts do not get included in the Analyzed Accounts profile. These accounts include excess funds accounts that for whatever reason do not get included in the Account Analysis rollup. </w:t>
      </w:r>
    </w:p>
    <w:p w14:paraId="2B1C7E17" w14:textId="77777777" w:rsidR="0088445D" w:rsidRPr="00E42156" w:rsidRDefault="0088445D" w:rsidP="006D2BE7">
      <w:pPr>
        <w:pStyle w:val="ListParagraph"/>
        <w:numPr>
          <w:ilvl w:val="0"/>
          <w:numId w:val="8"/>
        </w:numPr>
        <w:spacing w:after="120" w:line="240" w:lineRule="auto"/>
        <w:rPr>
          <w:szCs w:val="20"/>
        </w:rPr>
      </w:pPr>
      <w:r w:rsidRPr="003E5CDB">
        <w:rPr>
          <w:szCs w:val="20"/>
          <w:u w:val="single"/>
        </w:rPr>
        <w:t>Excess Funds, Analyzed Accounts:</w:t>
      </w:r>
      <w:r>
        <w:rPr>
          <w:szCs w:val="20"/>
        </w:rPr>
        <w:t xml:space="preserve"> these are accounts for small and mid-market clients where the bank is holding enough operating funds to completely offset any fees owed by the client, but the client still has funds over the threshold. </w:t>
      </w:r>
    </w:p>
    <w:p w14:paraId="7F1E1184" w14:textId="77777777" w:rsidR="0088445D" w:rsidRPr="00F66A1A" w:rsidRDefault="0088445D" w:rsidP="006D2BE7">
      <w:pPr>
        <w:pStyle w:val="ListParagraph"/>
        <w:numPr>
          <w:ilvl w:val="0"/>
          <w:numId w:val="8"/>
        </w:numPr>
        <w:spacing w:after="120" w:line="240" w:lineRule="auto"/>
        <w:rPr>
          <w:szCs w:val="20"/>
          <w:u w:val="single"/>
        </w:rPr>
      </w:pPr>
      <w:r w:rsidRPr="00F66A1A">
        <w:rPr>
          <w:szCs w:val="20"/>
          <w:u w:val="single"/>
        </w:rPr>
        <w:t>Operating Funds, Analyzed Accounts:</w:t>
      </w:r>
      <w:r>
        <w:rPr>
          <w:szCs w:val="20"/>
        </w:rPr>
        <w:t xml:space="preserve"> these accounts represent funds needed to offset fees in an account analysis scenario.</w:t>
      </w:r>
      <w:r w:rsidRPr="00F66A1A">
        <w:rPr>
          <w:szCs w:val="20"/>
          <w:u w:val="single"/>
        </w:rPr>
        <w:t xml:space="preserve"> </w:t>
      </w:r>
    </w:p>
    <w:p w14:paraId="3DA6550E" w14:textId="77777777" w:rsidR="0088445D" w:rsidRDefault="0088445D" w:rsidP="006D2BE7">
      <w:pPr>
        <w:spacing w:after="120" w:line="240" w:lineRule="auto"/>
        <w:contextualSpacing/>
        <w:rPr>
          <w:b/>
          <w:bCs w:val="0"/>
          <w:szCs w:val="20"/>
        </w:rPr>
      </w:pPr>
    </w:p>
    <w:p w14:paraId="089758EB" w14:textId="3119C9A9" w:rsidR="001F5DCA" w:rsidRDefault="00C91B53" w:rsidP="006D2BE7">
      <w:pPr>
        <w:spacing w:after="120" w:line="240" w:lineRule="auto"/>
        <w:contextualSpacing/>
        <w:rPr>
          <w:b/>
          <w:bCs w:val="0"/>
          <w:szCs w:val="20"/>
        </w:rPr>
      </w:pPr>
      <w:r w:rsidRPr="00C91B53">
        <w:rPr>
          <w:b/>
          <w:bCs w:val="0"/>
          <w:szCs w:val="20"/>
        </w:rPr>
        <w:t>Product Expectations for SMB Journey</w:t>
      </w:r>
      <w:r w:rsidR="00511E7A">
        <w:rPr>
          <w:b/>
          <w:bCs w:val="0"/>
          <w:szCs w:val="20"/>
        </w:rPr>
        <w:t xml:space="preserve"> (and Bundling Other Fintech Product)</w:t>
      </w:r>
    </w:p>
    <w:p w14:paraId="31D05492" w14:textId="5AD24816" w:rsidR="00C91B53" w:rsidRDefault="00C91B53" w:rsidP="006D2BE7">
      <w:pPr>
        <w:spacing w:after="120" w:line="240" w:lineRule="auto"/>
        <w:contextualSpacing/>
        <w:rPr>
          <w:szCs w:val="20"/>
        </w:rPr>
      </w:pPr>
      <w:r>
        <w:rPr>
          <w:szCs w:val="20"/>
        </w:rPr>
        <w:t>There are numerous product expectations related to the SMB Journey including:</w:t>
      </w:r>
    </w:p>
    <w:p w14:paraId="1DDB9E42" w14:textId="496A06EE" w:rsidR="00C91B53" w:rsidRDefault="00C91B53" w:rsidP="006D2BE7">
      <w:pPr>
        <w:pStyle w:val="ListParagraph"/>
        <w:numPr>
          <w:ilvl w:val="0"/>
          <w:numId w:val="4"/>
        </w:numPr>
        <w:spacing w:after="120" w:line="240" w:lineRule="auto"/>
        <w:rPr>
          <w:szCs w:val="20"/>
        </w:rPr>
      </w:pPr>
      <w:r>
        <w:rPr>
          <w:szCs w:val="20"/>
        </w:rPr>
        <w:t>The ability to generate</w:t>
      </w:r>
      <w:r w:rsidR="00A9153D">
        <w:rPr>
          <w:szCs w:val="20"/>
        </w:rPr>
        <w:t xml:space="preserve"> non-analyzed and analyzed account</w:t>
      </w:r>
      <w:r>
        <w:rPr>
          <w:szCs w:val="20"/>
        </w:rPr>
        <w:t xml:space="preserve"> deposits, which generally come from new client acquisition and the acquisition of new logos</w:t>
      </w:r>
    </w:p>
    <w:p w14:paraId="5BC85914" w14:textId="30972607" w:rsidR="00511E7A" w:rsidRPr="00511E7A" w:rsidRDefault="00C91B53" w:rsidP="006D2BE7">
      <w:pPr>
        <w:pStyle w:val="ListParagraph"/>
        <w:numPr>
          <w:ilvl w:val="0"/>
          <w:numId w:val="4"/>
        </w:numPr>
        <w:spacing w:after="120" w:line="240" w:lineRule="auto"/>
        <w:rPr>
          <w:szCs w:val="20"/>
        </w:rPr>
      </w:pPr>
      <w:r>
        <w:rPr>
          <w:szCs w:val="20"/>
        </w:rPr>
        <w:t>The ability to acquire new clients where the bank can initially extend credit (“loans”), but immediately following be able to “cross-sell” the relationship in other areas of the bank as outlined above.</w:t>
      </w:r>
    </w:p>
    <w:p w14:paraId="297A458E" w14:textId="75CA4B8E" w:rsidR="00C91B53" w:rsidRPr="00C91B53" w:rsidRDefault="00C91B53" w:rsidP="006D2BE7">
      <w:pPr>
        <w:spacing w:after="120" w:line="240" w:lineRule="auto"/>
        <w:contextualSpacing/>
        <w:rPr>
          <w:b/>
          <w:bCs w:val="0"/>
          <w:szCs w:val="20"/>
        </w:rPr>
      </w:pPr>
    </w:p>
    <w:p w14:paraId="6C9814E5" w14:textId="7E41475C" w:rsidR="004F7987" w:rsidRDefault="00A9153D" w:rsidP="006D2BE7">
      <w:pPr>
        <w:spacing w:after="120" w:line="240" w:lineRule="auto"/>
        <w:contextualSpacing/>
        <w:rPr>
          <w:b/>
          <w:bCs w:val="0"/>
          <w:szCs w:val="20"/>
        </w:rPr>
      </w:pPr>
      <w:r>
        <w:rPr>
          <w:b/>
          <w:bCs w:val="0"/>
          <w:szCs w:val="20"/>
        </w:rPr>
        <w:t xml:space="preserve">Road </w:t>
      </w:r>
      <w:r w:rsidR="005A1F1D">
        <w:rPr>
          <w:b/>
          <w:bCs w:val="0"/>
          <w:szCs w:val="20"/>
        </w:rPr>
        <w:t>M</w:t>
      </w:r>
      <w:r>
        <w:rPr>
          <w:b/>
          <w:bCs w:val="0"/>
          <w:szCs w:val="20"/>
        </w:rPr>
        <w:t>apping</w:t>
      </w:r>
      <w:r w:rsidR="004F7987">
        <w:rPr>
          <w:b/>
          <w:bCs w:val="0"/>
          <w:szCs w:val="20"/>
        </w:rPr>
        <w:t xml:space="preserve"> Exercise with the Bank</w:t>
      </w:r>
    </w:p>
    <w:p w14:paraId="5452E6C0" w14:textId="2CCBDA55" w:rsidR="003A248E" w:rsidRPr="003A248E" w:rsidRDefault="003A248E" w:rsidP="006D2BE7">
      <w:pPr>
        <w:spacing w:after="120" w:line="240" w:lineRule="auto"/>
        <w:contextualSpacing/>
        <w:rPr>
          <w:szCs w:val="20"/>
        </w:rPr>
      </w:pPr>
      <w:r>
        <w:rPr>
          <w:szCs w:val="20"/>
        </w:rPr>
        <w:t>Selling fintech product to a bank must be done in the context of a roadmap to a certain outcome. Roadmaps need to be developed by the fintech and delivered as part of the sales process</w:t>
      </w:r>
      <w:r w:rsidR="00A9153D">
        <w:rPr>
          <w:szCs w:val="20"/>
        </w:rPr>
        <w:t>. Components of the roadmap should include, but not be limited to:</w:t>
      </w:r>
    </w:p>
    <w:p w14:paraId="129A9D49" w14:textId="04D05BFF" w:rsidR="004F7987" w:rsidRPr="004F7987" w:rsidRDefault="004F7987" w:rsidP="006D2BE7">
      <w:pPr>
        <w:pStyle w:val="ListParagraph"/>
        <w:numPr>
          <w:ilvl w:val="0"/>
          <w:numId w:val="9"/>
        </w:numPr>
        <w:spacing w:after="120" w:line="240" w:lineRule="auto"/>
        <w:rPr>
          <w:szCs w:val="20"/>
        </w:rPr>
      </w:pPr>
      <w:r w:rsidRPr="004F7987">
        <w:rPr>
          <w:szCs w:val="20"/>
        </w:rPr>
        <w:t>Current State</w:t>
      </w:r>
      <w:r w:rsidR="00A9153D">
        <w:rPr>
          <w:szCs w:val="20"/>
        </w:rPr>
        <w:t>: includes financial evaluation including an evaluation of the client set (both commercial and consumer), technology stack evaluation and FTE evaluation. This evaluation helps a bank understand where they are today to understand what is possible in the future.</w:t>
      </w:r>
    </w:p>
    <w:p w14:paraId="18C3033D" w14:textId="5AD5B996" w:rsidR="004F7987" w:rsidRDefault="004F7987" w:rsidP="006D2BE7">
      <w:pPr>
        <w:pStyle w:val="ListParagraph"/>
        <w:numPr>
          <w:ilvl w:val="0"/>
          <w:numId w:val="9"/>
        </w:numPr>
        <w:spacing w:after="120" w:line="240" w:lineRule="auto"/>
        <w:rPr>
          <w:szCs w:val="20"/>
        </w:rPr>
      </w:pPr>
      <w:r w:rsidRPr="004F7987">
        <w:rPr>
          <w:szCs w:val="20"/>
        </w:rPr>
        <w:t>Future State</w:t>
      </w:r>
      <w:r w:rsidR="00A9153D">
        <w:rPr>
          <w:szCs w:val="20"/>
        </w:rPr>
        <w:t>: future state takes the learnings from the previous to help a bank evaluate where they need to be in the future from a financial perspective, technology perspective and FTE perspective. Developing the future state is done in the context of the outcomes the bank wants to produce.</w:t>
      </w:r>
    </w:p>
    <w:p w14:paraId="59907F1E" w14:textId="77777777" w:rsidR="00A9153D" w:rsidRPr="00A9153D" w:rsidRDefault="00A9153D" w:rsidP="006D2BE7">
      <w:pPr>
        <w:pStyle w:val="ListParagraph"/>
        <w:spacing w:after="120" w:line="240" w:lineRule="auto"/>
        <w:rPr>
          <w:szCs w:val="20"/>
        </w:rPr>
      </w:pPr>
    </w:p>
    <w:p w14:paraId="57054DFF" w14:textId="10C83B50" w:rsidR="00F41149" w:rsidRPr="00763A79" w:rsidRDefault="00F41149" w:rsidP="006D2BE7">
      <w:pPr>
        <w:spacing w:after="120" w:line="240" w:lineRule="auto"/>
        <w:contextualSpacing/>
        <w:rPr>
          <w:b/>
          <w:bCs w:val="0"/>
          <w:szCs w:val="20"/>
        </w:rPr>
      </w:pPr>
      <w:r w:rsidRPr="00763A79">
        <w:rPr>
          <w:b/>
          <w:bCs w:val="0"/>
          <w:szCs w:val="20"/>
        </w:rPr>
        <w:t xml:space="preserve">Potential Pricing for </w:t>
      </w:r>
      <w:r w:rsidR="00C91B53">
        <w:rPr>
          <w:b/>
          <w:bCs w:val="0"/>
          <w:szCs w:val="20"/>
        </w:rPr>
        <w:t>SMB Journey</w:t>
      </w:r>
    </w:p>
    <w:p w14:paraId="6C07AD4A" w14:textId="117AEBFC" w:rsidR="00E037B3" w:rsidRDefault="00C91B53" w:rsidP="006D2BE7">
      <w:pPr>
        <w:spacing w:after="120" w:line="240" w:lineRule="auto"/>
        <w:contextualSpacing/>
        <w:rPr>
          <w:szCs w:val="20"/>
        </w:rPr>
      </w:pPr>
      <w:r>
        <w:rPr>
          <w:szCs w:val="20"/>
        </w:rPr>
        <w:t>The expectation is that contract values will be higher for the SMB Journey than those from the consumer application of the product.</w:t>
      </w:r>
      <w:r w:rsidR="005A1F1D">
        <w:rPr>
          <w:szCs w:val="20"/>
        </w:rPr>
        <w:t xml:space="preserve"> More research is necessary related to pricing the SMB product.</w:t>
      </w:r>
    </w:p>
    <w:p w14:paraId="129634CC" w14:textId="77777777" w:rsidR="00E037B3" w:rsidRDefault="00E037B3" w:rsidP="006D2BE7">
      <w:pPr>
        <w:spacing w:after="120" w:line="240" w:lineRule="auto"/>
        <w:contextualSpacing/>
        <w:rPr>
          <w:szCs w:val="20"/>
        </w:rPr>
      </w:pPr>
    </w:p>
    <w:p w14:paraId="2FAE073F" w14:textId="575509BB" w:rsidR="00980862" w:rsidRDefault="00E037B3" w:rsidP="006D2BE7">
      <w:pPr>
        <w:spacing w:after="120" w:line="240" w:lineRule="auto"/>
        <w:contextualSpacing/>
        <w:rPr>
          <w:b/>
          <w:bCs w:val="0"/>
          <w:szCs w:val="20"/>
        </w:rPr>
      </w:pPr>
      <w:r w:rsidRPr="00E037B3">
        <w:rPr>
          <w:b/>
          <w:bCs w:val="0"/>
          <w:szCs w:val="20"/>
        </w:rPr>
        <w:t>Segmenting Banks to Focus on SMB</w:t>
      </w:r>
    </w:p>
    <w:p w14:paraId="13D7A754" w14:textId="43DA40CB" w:rsidR="00A9153D" w:rsidRDefault="00A9153D" w:rsidP="006D2BE7">
      <w:pPr>
        <w:pStyle w:val="ListParagraph"/>
        <w:numPr>
          <w:ilvl w:val="0"/>
          <w:numId w:val="12"/>
        </w:numPr>
        <w:spacing w:after="120" w:line="240" w:lineRule="auto"/>
        <w:rPr>
          <w:szCs w:val="20"/>
        </w:rPr>
      </w:pPr>
      <w:r w:rsidRPr="00A9153D">
        <w:rPr>
          <w:szCs w:val="20"/>
        </w:rPr>
        <w:t xml:space="preserve">Overall </w:t>
      </w:r>
      <w:r w:rsidR="006D2BE7">
        <w:rPr>
          <w:szCs w:val="20"/>
        </w:rPr>
        <w:t>R</w:t>
      </w:r>
      <w:r w:rsidRPr="00A9153D">
        <w:rPr>
          <w:szCs w:val="20"/>
        </w:rPr>
        <w:t>evenue</w:t>
      </w:r>
      <w:r w:rsidR="006D2BE7">
        <w:rPr>
          <w:szCs w:val="20"/>
        </w:rPr>
        <w:t xml:space="preserve"> Mix</w:t>
      </w:r>
      <w:r w:rsidRPr="00A9153D">
        <w:rPr>
          <w:szCs w:val="20"/>
        </w:rPr>
        <w:t>: both interest income and fee generation</w:t>
      </w:r>
    </w:p>
    <w:p w14:paraId="3A4A5E79" w14:textId="0C654C4C" w:rsidR="00A9153D" w:rsidRDefault="00A9153D" w:rsidP="006D2BE7">
      <w:pPr>
        <w:pStyle w:val="ListParagraph"/>
        <w:numPr>
          <w:ilvl w:val="0"/>
          <w:numId w:val="12"/>
        </w:numPr>
        <w:spacing w:after="120" w:line="240" w:lineRule="auto"/>
        <w:rPr>
          <w:szCs w:val="20"/>
        </w:rPr>
      </w:pPr>
      <w:r>
        <w:rPr>
          <w:szCs w:val="20"/>
        </w:rPr>
        <w:t xml:space="preserve">Deposit </w:t>
      </w:r>
      <w:r w:rsidR="006D2BE7">
        <w:rPr>
          <w:szCs w:val="20"/>
        </w:rPr>
        <w:t>M</w:t>
      </w:r>
      <w:r>
        <w:rPr>
          <w:szCs w:val="20"/>
        </w:rPr>
        <w:t>ix: consumer vs. commercial deposits</w:t>
      </w:r>
    </w:p>
    <w:p w14:paraId="5100AD11" w14:textId="369E1E90" w:rsidR="00B06F0E" w:rsidRPr="006A015D" w:rsidRDefault="00A9153D" w:rsidP="006A015D">
      <w:pPr>
        <w:pStyle w:val="ListParagraph"/>
        <w:numPr>
          <w:ilvl w:val="0"/>
          <w:numId w:val="12"/>
        </w:numPr>
        <w:spacing w:after="120" w:line="240" w:lineRule="auto"/>
        <w:rPr>
          <w:szCs w:val="20"/>
        </w:rPr>
      </w:pPr>
      <w:r>
        <w:rPr>
          <w:szCs w:val="20"/>
        </w:rPr>
        <w:t xml:space="preserve">Number of </w:t>
      </w:r>
      <w:r w:rsidR="006D2BE7">
        <w:rPr>
          <w:szCs w:val="20"/>
        </w:rPr>
        <w:t>C</w:t>
      </w:r>
      <w:r>
        <w:rPr>
          <w:szCs w:val="20"/>
        </w:rPr>
        <w:t>lients: number of clients on both consumer and commercial side of the bank</w:t>
      </w:r>
    </w:p>
    <w:sectPr w:rsidR="00B06F0E" w:rsidRPr="006A015D" w:rsidSect="00EF3901">
      <w:headerReference w:type="default" r:id="rId7"/>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108C8F" w14:textId="77777777" w:rsidR="005D7004" w:rsidRDefault="005D7004" w:rsidP="00EF3901">
      <w:pPr>
        <w:spacing w:after="0" w:line="240" w:lineRule="auto"/>
      </w:pPr>
      <w:r>
        <w:separator/>
      </w:r>
    </w:p>
  </w:endnote>
  <w:endnote w:type="continuationSeparator" w:id="0">
    <w:p w14:paraId="4CE6900D" w14:textId="77777777" w:rsidR="005D7004" w:rsidRDefault="005D7004" w:rsidP="00EF3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C99A91" w14:textId="2F240D3A" w:rsidR="00EF3901" w:rsidRPr="00FF76C7" w:rsidRDefault="00EF3901">
    <w:pPr>
      <w:pStyle w:val="Footer"/>
      <w:rPr>
        <w:sz w:val="16"/>
        <w:szCs w:val="16"/>
      </w:rPr>
    </w:pPr>
    <w:r w:rsidRPr="00FF76C7">
      <w:rPr>
        <w:sz w:val="16"/>
        <w:szCs w:val="16"/>
      </w:rPr>
      <w:t xml:space="preserve">Prepared for </w:t>
    </w:r>
    <w:r w:rsidR="00FF76C7" w:rsidRPr="00FF76C7">
      <w:rPr>
        <w:sz w:val="16"/>
        <w:szCs w:val="16"/>
      </w:rPr>
      <w:t>C</w:t>
    </w:r>
    <w:r w:rsidRPr="00FF76C7">
      <w:rPr>
        <w:sz w:val="16"/>
        <w:szCs w:val="16"/>
      </w:rPr>
      <w:t>lient use only</w:t>
    </w:r>
    <w:r w:rsidR="00AB56DE" w:rsidRPr="00FF76C7">
      <w:rPr>
        <w:sz w:val="16"/>
        <w:szCs w:val="16"/>
      </w:rPr>
      <w:t xml:space="preserve"> by Finov8r Consulting. </w:t>
    </w:r>
    <w:r w:rsidR="00AB56DE" w:rsidRPr="00D92EDB">
      <w:rPr>
        <w:b/>
        <w:bCs w:val="0"/>
        <w:sz w:val="16"/>
        <w:szCs w:val="16"/>
      </w:rPr>
      <w:t>Please do not distribute externally without prior, written approval.</w:t>
    </w:r>
    <w:r w:rsidR="00FF76C7" w:rsidRPr="00FF76C7">
      <w:rPr>
        <w:sz w:val="16"/>
        <w:szCs w:val="16"/>
      </w:rPr>
      <w:t xml:space="preserve"> Memo may contain forward-looking statements subject to risks and uncertainties that could cause actual results to differ materially from those expressed or implied. These risks include, but are not limited to, Clients' abilities to utilize our services effectively, adverse legal or regulatory actions, negative publicity, and lengthy sales cycles. These statements reflect our current expectations but should not be relied upon as predictions.</w:t>
    </w:r>
    <w:r w:rsidR="00FF76C7">
      <w:rPr>
        <w:sz w:val="16"/>
        <w:szCs w:val="16"/>
      </w:rPr>
      <w:t xml:space="preserve"> Updated 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FF4210" w14:textId="77777777" w:rsidR="005D7004" w:rsidRDefault="005D7004" w:rsidP="00EF3901">
      <w:pPr>
        <w:spacing w:after="0" w:line="240" w:lineRule="auto"/>
      </w:pPr>
      <w:r>
        <w:separator/>
      </w:r>
    </w:p>
  </w:footnote>
  <w:footnote w:type="continuationSeparator" w:id="0">
    <w:p w14:paraId="27C711FF" w14:textId="77777777" w:rsidR="005D7004" w:rsidRDefault="005D7004" w:rsidP="00EF39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78E738" w14:textId="1C66382B" w:rsidR="00EF3901" w:rsidRDefault="00EF3901" w:rsidP="00EF3901">
    <w:pPr>
      <w:pStyle w:val="Header"/>
      <w:jc w:val="right"/>
    </w:pPr>
    <w:r>
      <w:rPr>
        <w:noProof/>
      </w:rPr>
      <w:drawing>
        <wp:inline distT="0" distB="0" distL="0" distR="0" wp14:anchorId="188590BB" wp14:editId="7D38F58E">
          <wp:extent cx="2607734" cy="476274"/>
          <wp:effectExtent l="0" t="0" r="0" b="0"/>
          <wp:docPr id="272900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900681" name="Picture 272900681"/>
                  <pic:cNvPicPr/>
                </pic:nvPicPr>
                <pic:blipFill>
                  <a:blip r:embed="rId1">
                    <a:extLst>
                      <a:ext uri="{28A0092B-C50C-407E-A947-70E740481C1C}">
                        <a14:useLocalDpi xmlns:a14="http://schemas.microsoft.com/office/drawing/2010/main" val="0"/>
                      </a:ext>
                    </a:extLst>
                  </a:blip>
                  <a:stretch>
                    <a:fillRect/>
                  </a:stretch>
                </pic:blipFill>
                <pic:spPr>
                  <a:xfrm>
                    <a:off x="0" y="0"/>
                    <a:ext cx="3293748" cy="6015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D5FA7"/>
    <w:multiLevelType w:val="hybridMultilevel"/>
    <w:tmpl w:val="BBAE9FC2"/>
    <w:lvl w:ilvl="0" w:tplc="0409000F">
      <w:start w:val="1"/>
      <w:numFmt w:val="decimal"/>
      <w:lvlText w:val="%1."/>
      <w:lvlJc w:val="left"/>
      <w:pPr>
        <w:ind w:left="760" w:hanging="360"/>
      </w:p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 w15:restartNumberingAfterBreak="0">
    <w:nsid w:val="0D1F1950"/>
    <w:multiLevelType w:val="multilevel"/>
    <w:tmpl w:val="7842F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C03D32"/>
    <w:multiLevelType w:val="multilevel"/>
    <w:tmpl w:val="DDB4D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C069A9"/>
    <w:multiLevelType w:val="hybridMultilevel"/>
    <w:tmpl w:val="B1CA1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574C"/>
    <w:multiLevelType w:val="hybridMultilevel"/>
    <w:tmpl w:val="1CC61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AE68EE"/>
    <w:multiLevelType w:val="hybridMultilevel"/>
    <w:tmpl w:val="7FFC71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DC13EC"/>
    <w:multiLevelType w:val="hybridMultilevel"/>
    <w:tmpl w:val="C7D4B9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94130B"/>
    <w:multiLevelType w:val="hybridMultilevel"/>
    <w:tmpl w:val="0C86D1A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DB6D6E"/>
    <w:multiLevelType w:val="multilevel"/>
    <w:tmpl w:val="D8CA796E"/>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DA6AF2"/>
    <w:multiLevelType w:val="hybridMultilevel"/>
    <w:tmpl w:val="26C0D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CB7433"/>
    <w:multiLevelType w:val="hybridMultilevel"/>
    <w:tmpl w:val="15B4DC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787269"/>
    <w:multiLevelType w:val="hybridMultilevel"/>
    <w:tmpl w:val="EF1EEE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0C7415"/>
    <w:multiLevelType w:val="hybridMultilevel"/>
    <w:tmpl w:val="A2D692D4"/>
    <w:lvl w:ilvl="0" w:tplc="3D20689C">
      <w:start w:val="1"/>
      <w:numFmt w:val="decimal"/>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3" w15:restartNumberingAfterBreak="0">
    <w:nsid w:val="79591A09"/>
    <w:multiLevelType w:val="hybridMultilevel"/>
    <w:tmpl w:val="24A05D74"/>
    <w:lvl w:ilvl="0" w:tplc="04090011">
      <w:start w:val="1"/>
      <w:numFmt w:val="decimal"/>
      <w:lvlText w:val="%1)"/>
      <w:lvlJc w:val="left"/>
      <w:pPr>
        <w:ind w:left="763" w:hanging="360"/>
      </w:p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14" w15:restartNumberingAfterBreak="0">
    <w:nsid w:val="7D3522BB"/>
    <w:multiLevelType w:val="hybridMultilevel"/>
    <w:tmpl w:val="0D8AE7F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85189409">
    <w:abstractNumId w:val="0"/>
  </w:num>
  <w:num w:numId="2" w16cid:durableId="1522428704">
    <w:abstractNumId w:val="2"/>
  </w:num>
  <w:num w:numId="3" w16cid:durableId="386877786">
    <w:abstractNumId w:val="10"/>
  </w:num>
  <w:num w:numId="4" w16cid:durableId="1116174421">
    <w:abstractNumId w:val="4"/>
  </w:num>
  <w:num w:numId="5" w16cid:durableId="2115783808">
    <w:abstractNumId w:val="14"/>
  </w:num>
  <w:num w:numId="6" w16cid:durableId="4525799">
    <w:abstractNumId w:val="13"/>
  </w:num>
  <w:num w:numId="7" w16cid:durableId="1424186975">
    <w:abstractNumId w:val="12"/>
  </w:num>
  <w:num w:numId="8" w16cid:durableId="302539300">
    <w:abstractNumId w:val="6"/>
  </w:num>
  <w:num w:numId="9" w16cid:durableId="750733307">
    <w:abstractNumId w:val="3"/>
  </w:num>
  <w:num w:numId="10" w16cid:durableId="626621556">
    <w:abstractNumId w:val="1"/>
  </w:num>
  <w:num w:numId="11" w16cid:durableId="1653873604">
    <w:abstractNumId w:val="8"/>
  </w:num>
  <w:num w:numId="12" w16cid:durableId="1231622295">
    <w:abstractNumId w:val="7"/>
  </w:num>
  <w:num w:numId="13" w16cid:durableId="713892694">
    <w:abstractNumId w:val="9"/>
  </w:num>
  <w:num w:numId="14" w16cid:durableId="1100029221">
    <w:abstractNumId w:val="11"/>
  </w:num>
  <w:num w:numId="15" w16cid:durableId="13355731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79A"/>
    <w:rsid w:val="00067AE0"/>
    <w:rsid w:val="000721AD"/>
    <w:rsid w:val="000E27DF"/>
    <w:rsid w:val="001850B9"/>
    <w:rsid w:val="001C4985"/>
    <w:rsid w:val="001F5DCA"/>
    <w:rsid w:val="00277905"/>
    <w:rsid w:val="002C579A"/>
    <w:rsid w:val="002D5ADD"/>
    <w:rsid w:val="002E68DB"/>
    <w:rsid w:val="003873EB"/>
    <w:rsid w:val="003A248E"/>
    <w:rsid w:val="003E2671"/>
    <w:rsid w:val="003E5CDB"/>
    <w:rsid w:val="00413619"/>
    <w:rsid w:val="004560FE"/>
    <w:rsid w:val="004F7987"/>
    <w:rsid w:val="00511E7A"/>
    <w:rsid w:val="0058440D"/>
    <w:rsid w:val="005A1F1D"/>
    <w:rsid w:val="005D7004"/>
    <w:rsid w:val="006052A0"/>
    <w:rsid w:val="00621C21"/>
    <w:rsid w:val="00627023"/>
    <w:rsid w:val="006A015D"/>
    <w:rsid w:val="006D2BE7"/>
    <w:rsid w:val="00763A79"/>
    <w:rsid w:val="00805BFB"/>
    <w:rsid w:val="0088445D"/>
    <w:rsid w:val="008850B2"/>
    <w:rsid w:val="008D34FF"/>
    <w:rsid w:val="008E79E4"/>
    <w:rsid w:val="009549AE"/>
    <w:rsid w:val="00962920"/>
    <w:rsid w:val="00980862"/>
    <w:rsid w:val="00987FB7"/>
    <w:rsid w:val="009C5A7A"/>
    <w:rsid w:val="009E323C"/>
    <w:rsid w:val="00A9153D"/>
    <w:rsid w:val="00AA0EA6"/>
    <w:rsid w:val="00AB56DE"/>
    <w:rsid w:val="00AD08ED"/>
    <w:rsid w:val="00AD7113"/>
    <w:rsid w:val="00B06F0E"/>
    <w:rsid w:val="00B74D0C"/>
    <w:rsid w:val="00C05D99"/>
    <w:rsid w:val="00C23173"/>
    <w:rsid w:val="00C52FC5"/>
    <w:rsid w:val="00C617E1"/>
    <w:rsid w:val="00C826F3"/>
    <w:rsid w:val="00C91B53"/>
    <w:rsid w:val="00C97F97"/>
    <w:rsid w:val="00CA7C58"/>
    <w:rsid w:val="00CF34B8"/>
    <w:rsid w:val="00D02171"/>
    <w:rsid w:val="00D46BE7"/>
    <w:rsid w:val="00D91CCA"/>
    <w:rsid w:val="00D92EDB"/>
    <w:rsid w:val="00E037B3"/>
    <w:rsid w:val="00E157CA"/>
    <w:rsid w:val="00E42156"/>
    <w:rsid w:val="00E60F0C"/>
    <w:rsid w:val="00EA2AD5"/>
    <w:rsid w:val="00EA6FB6"/>
    <w:rsid w:val="00EF3901"/>
    <w:rsid w:val="00F41149"/>
    <w:rsid w:val="00F66A1A"/>
    <w:rsid w:val="00F87C10"/>
    <w:rsid w:val="00FF7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BF1649"/>
  <w15:chartTrackingRefBased/>
  <w15:docId w15:val="{BD6093FA-C90A-9C41-984C-6AFEB3E35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imes New Roman (Body CS)"/>
        <w:bCs/>
        <w:kern w:val="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57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57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57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57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57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57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7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7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7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7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57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7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7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7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7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7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7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79A"/>
    <w:rPr>
      <w:rFonts w:eastAsiaTheme="majorEastAsia" w:cstheme="majorBidi"/>
      <w:color w:val="272727" w:themeColor="text1" w:themeTint="D8"/>
    </w:rPr>
  </w:style>
  <w:style w:type="paragraph" w:styleId="Title">
    <w:name w:val="Title"/>
    <w:basedOn w:val="Normal"/>
    <w:next w:val="Normal"/>
    <w:link w:val="TitleChar"/>
    <w:uiPriority w:val="10"/>
    <w:qFormat/>
    <w:rsid w:val="002C57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7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7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57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79A"/>
    <w:pPr>
      <w:spacing w:before="160"/>
      <w:jc w:val="center"/>
    </w:pPr>
    <w:rPr>
      <w:i/>
      <w:iCs/>
      <w:color w:val="404040" w:themeColor="text1" w:themeTint="BF"/>
    </w:rPr>
  </w:style>
  <w:style w:type="character" w:customStyle="1" w:styleId="QuoteChar">
    <w:name w:val="Quote Char"/>
    <w:basedOn w:val="DefaultParagraphFont"/>
    <w:link w:val="Quote"/>
    <w:uiPriority w:val="29"/>
    <w:rsid w:val="002C579A"/>
    <w:rPr>
      <w:i/>
      <w:iCs/>
      <w:color w:val="404040" w:themeColor="text1" w:themeTint="BF"/>
    </w:rPr>
  </w:style>
  <w:style w:type="paragraph" w:styleId="ListParagraph">
    <w:name w:val="List Paragraph"/>
    <w:basedOn w:val="Normal"/>
    <w:uiPriority w:val="34"/>
    <w:qFormat/>
    <w:rsid w:val="002C579A"/>
    <w:pPr>
      <w:ind w:left="720"/>
      <w:contextualSpacing/>
    </w:pPr>
  </w:style>
  <w:style w:type="character" w:styleId="IntenseEmphasis">
    <w:name w:val="Intense Emphasis"/>
    <w:basedOn w:val="DefaultParagraphFont"/>
    <w:uiPriority w:val="21"/>
    <w:qFormat/>
    <w:rsid w:val="002C579A"/>
    <w:rPr>
      <w:i/>
      <w:iCs/>
      <w:color w:val="0F4761" w:themeColor="accent1" w:themeShade="BF"/>
    </w:rPr>
  </w:style>
  <w:style w:type="paragraph" w:styleId="IntenseQuote">
    <w:name w:val="Intense Quote"/>
    <w:basedOn w:val="Normal"/>
    <w:next w:val="Normal"/>
    <w:link w:val="IntenseQuoteChar"/>
    <w:uiPriority w:val="30"/>
    <w:qFormat/>
    <w:rsid w:val="002C57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579A"/>
    <w:rPr>
      <w:i/>
      <w:iCs/>
      <w:color w:val="0F4761" w:themeColor="accent1" w:themeShade="BF"/>
    </w:rPr>
  </w:style>
  <w:style w:type="character" w:styleId="IntenseReference">
    <w:name w:val="Intense Reference"/>
    <w:basedOn w:val="DefaultParagraphFont"/>
    <w:uiPriority w:val="32"/>
    <w:qFormat/>
    <w:rsid w:val="002C579A"/>
    <w:rPr>
      <w:b/>
      <w:bCs w:val="0"/>
      <w:smallCaps/>
      <w:color w:val="0F4761" w:themeColor="accent1" w:themeShade="BF"/>
      <w:spacing w:val="5"/>
    </w:rPr>
  </w:style>
  <w:style w:type="character" w:styleId="Hyperlink">
    <w:name w:val="Hyperlink"/>
    <w:basedOn w:val="DefaultParagraphFont"/>
    <w:uiPriority w:val="99"/>
    <w:unhideWhenUsed/>
    <w:rsid w:val="00067AE0"/>
    <w:rPr>
      <w:color w:val="467886" w:themeColor="hyperlink"/>
      <w:u w:val="single"/>
    </w:rPr>
  </w:style>
  <w:style w:type="character" w:styleId="UnresolvedMention">
    <w:name w:val="Unresolved Mention"/>
    <w:basedOn w:val="DefaultParagraphFont"/>
    <w:uiPriority w:val="99"/>
    <w:semiHidden/>
    <w:unhideWhenUsed/>
    <w:rsid w:val="00067AE0"/>
    <w:rPr>
      <w:color w:val="605E5C"/>
      <w:shd w:val="clear" w:color="auto" w:fill="E1DFDD"/>
    </w:rPr>
  </w:style>
  <w:style w:type="paragraph" w:styleId="Header">
    <w:name w:val="header"/>
    <w:basedOn w:val="Normal"/>
    <w:link w:val="HeaderChar"/>
    <w:uiPriority w:val="99"/>
    <w:unhideWhenUsed/>
    <w:rsid w:val="00EF39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901"/>
  </w:style>
  <w:style w:type="paragraph" w:styleId="Footer">
    <w:name w:val="footer"/>
    <w:basedOn w:val="Normal"/>
    <w:link w:val="FooterChar"/>
    <w:uiPriority w:val="99"/>
    <w:unhideWhenUsed/>
    <w:rsid w:val="00EF39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3478964">
      <w:bodyDiv w:val="1"/>
      <w:marLeft w:val="0"/>
      <w:marRight w:val="0"/>
      <w:marTop w:val="0"/>
      <w:marBottom w:val="0"/>
      <w:divBdr>
        <w:top w:val="none" w:sz="0" w:space="0" w:color="auto"/>
        <w:left w:val="none" w:sz="0" w:space="0" w:color="auto"/>
        <w:bottom w:val="none" w:sz="0" w:space="0" w:color="auto"/>
        <w:right w:val="none" w:sz="0" w:space="0" w:color="auto"/>
      </w:divBdr>
    </w:div>
    <w:div w:id="1187600869">
      <w:bodyDiv w:val="1"/>
      <w:marLeft w:val="0"/>
      <w:marRight w:val="0"/>
      <w:marTop w:val="0"/>
      <w:marBottom w:val="0"/>
      <w:divBdr>
        <w:top w:val="none" w:sz="0" w:space="0" w:color="auto"/>
        <w:left w:val="none" w:sz="0" w:space="0" w:color="auto"/>
        <w:bottom w:val="none" w:sz="0" w:space="0" w:color="auto"/>
        <w:right w:val="none" w:sz="0" w:space="0" w:color="auto"/>
      </w:divBdr>
    </w:div>
    <w:div w:id="1226987361">
      <w:bodyDiv w:val="1"/>
      <w:marLeft w:val="0"/>
      <w:marRight w:val="0"/>
      <w:marTop w:val="0"/>
      <w:marBottom w:val="0"/>
      <w:divBdr>
        <w:top w:val="none" w:sz="0" w:space="0" w:color="auto"/>
        <w:left w:val="none" w:sz="0" w:space="0" w:color="auto"/>
        <w:bottom w:val="none" w:sz="0" w:space="0" w:color="auto"/>
        <w:right w:val="none" w:sz="0" w:space="0" w:color="auto"/>
      </w:divBdr>
    </w:div>
    <w:div w:id="184335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1294</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Rayson</dc:creator>
  <cp:keywords/>
  <dc:description/>
  <cp:lastModifiedBy>Allan Rayson</cp:lastModifiedBy>
  <cp:revision>3</cp:revision>
  <cp:lastPrinted>2024-09-06T12:50:00Z</cp:lastPrinted>
  <dcterms:created xsi:type="dcterms:W3CDTF">2024-09-06T12:50:00Z</dcterms:created>
  <dcterms:modified xsi:type="dcterms:W3CDTF">2024-09-06T12:56:00Z</dcterms:modified>
</cp:coreProperties>
</file>